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D9C8B" w14:textId="1C0DAFBE" w:rsidR="001134A7" w:rsidRDefault="001134A7"/>
    <w:p w14:paraId="541BCE8F" w14:textId="49D0292D" w:rsidR="00633488" w:rsidRDefault="00633488"/>
    <w:p w14:paraId="51C88C65" w14:textId="77777777" w:rsidR="00633488" w:rsidRDefault="00633488"/>
    <w:p w14:paraId="21118CFC" w14:textId="1648800D" w:rsidR="00633488" w:rsidRPr="00633488" w:rsidRDefault="00633488" w:rsidP="00633488">
      <w:pPr>
        <w:pStyle w:val="NoSpacing"/>
        <w:rPr>
          <w:b/>
          <w:bCs/>
          <w:sz w:val="28"/>
          <w:szCs w:val="28"/>
          <w:lang w:val="nl-NL"/>
        </w:rPr>
      </w:pPr>
      <w:r w:rsidRPr="00633488">
        <w:rPr>
          <w:b/>
          <w:bCs/>
          <w:sz w:val="28"/>
          <w:szCs w:val="28"/>
          <w:lang w:val="nl-NL"/>
        </w:rPr>
        <w:t xml:space="preserve">Protocol </w:t>
      </w:r>
      <w:proofErr w:type="spellStart"/>
      <w:r w:rsidRPr="00633488">
        <w:rPr>
          <w:b/>
          <w:bCs/>
          <w:sz w:val="28"/>
          <w:szCs w:val="28"/>
          <w:lang w:val="nl-NL"/>
        </w:rPr>
        <w:t>Dara</w:t>
      </w:r>
      <w:proofErr w:type="spellEnd"/>
      <w:r w:rsidRPr="00633488">
        <w:rPr>
          <w:b/>
          <w:bCs/>
          <w:sz w:val="28"/>
          <w:szCs w:val="28"/>
          <w:lang w:val="nl-NL"/>
        </w:rPr>
        <w:t>-</w:t>
      </w:r>
      <w:r w:rsidR="00CB191A">
        <w:rPr>
          <w:b/>
          <w:bCs/>
          <w:sz w:val="28"/>
          <w:szCs w:val="28"/>
          <w:lang w:val="nl-NL"/>
        </w:rPr>
        <w:t>P</w:t>
      </w:r>
      <w:r w:rsidRPr="00633488">
        <w:rPr>
          <w:b/>
          <w:bCs/>
          <w:sz w:val="28"/>
          <w:szCs w:val="28"/>
          <w:lang w:val="nl-NL"/>
        </w:rPr>
        <w:t xml:space="preserve">d: </w:t>
      </w:r>
    </w:p>
    <w:p w14:paraId="00177867" w14:textId="66EDBDD0" w:rsidR="00633488" w:rsidRDefault="00633488" w:rsidP="00633488">
      <w:pPr>
        <w:pStyle w:val="NoSpacing"/>
        <w:rPr>
          <w:b/>
          <w:bCs/>
          <w:sz w:val="28"/>
          <w:szCs w:val="28"/>
          <w:lang w:val="nl-NL"/>
        </w:rPr>
      </w:pPr>
      <w:r w:rsidRPr="00633488">
        <w:rPr>
          <w:b/>
          <w:bCs/>
          <w:sz w:val="28"/>
          <w:szCs w:val="28"/>
          <w:lang w:val="nl-NL"/>
        </w:rPr>
        <w:t>Behandeling met daratumumab SC (Darzalex</w:t>
      </w:r>
      <w:r w:rsidRPr="00633488">
        <w:rPr>
          <w:rFonts w:cstheme="minorHAnsi"/>
          <w:b/>
          <w:bCs/>
          <w:sz w:val="28"/>
          <w:szCs w:val="28"/>
          <w:lang w:val="nl-NL"/>
        </w:rPr>
        <w:t>® SC</w:t>
      </w:r>
      <w:r w:rsidRPr="00633488">
        <w:rPr>
          <w:b/>
          <w:bCs/>
          <w:sz w:val="28"/>
          <w:szCs w:val="28"/>
          <w:lang w:val="nl-NL"/>
        </w:rPr>
        <w:t xml:space="preserve">) </w:t>
      </w:r>
      <w:r w:rsidR="00CB191A" w:rsidRPr="00CB191A">
        <w:rPr>
          <w:b/>
          <w:bCs/>
          <w:sz w:val="28"/>
          <w:szCs w:val="28"/>
          <w:lang w:val="nl-NL"/>
        </w:rPr>
        <w:t xml:space="preserve">in combinatie met </w:t>
      </w:r>
      <w:proofErr w:type="spellStart"/>
      <w:r w:rsidR="00CB191A">
        <w:rPr>
          <w:b/>
          <w:bCs/>
          <w:sz w:val="28"/>
          <w:szCs w:val="28"/>
          <w:lang w:val="nl-NL"/>
        </w:rPr>
        <w:t>p</w:t>
      </w:r>
      <w:r w:rsidR="00CB191A" w:rsidRPr="00CB191A">
        <w:rPr>
          <w:b/>
          <w:bCs/>
          <w:sz w:val="28"/>
          <w:szCs w:val="28"/>
          <w:lang w:val="nl-NL"/>
        </w:rPr>
        <w:t>omalidomide</w:t>
      </w:r>
      <w:proofErr w:type="spellEnd"/>
      <w:r w:rsidR="00CB191A" w:rsidRPr="00CB191A">
        <w:rPr>
          <w:b/>
          <w:bCs/>
          <w:sz w:val="28"/>
          <w:szCs w:val="28"/>
          <w:lang w:val="nl-NL"/>
        </w:rPr>
        <w:t xml:space="preserve"> </w:t>
      </w:r>
      <w:r w:rsidR="00CB191A">
        <w:rPr>
          <w:b/>
          <w:bCs/>
          <w:sz w:val="28"/>
          <w:szCs w:val="28"/>
          <w:lang w:val="nl-NL"/>
        </w:rPr>
        <w:t>(</w:t>
      </w:r>
      <w:proofErr w:type="spellStart"/>
      <w:r w:rsidR="00CB191A" w:rsidRPr="00CB191A">
        <w:rPr>
          <w:b/>
          <w:bCs/>
          <w:sz w:val="28"/>
          <w:szCs w:val="28"/>
          <w:lang w:val="nl-NL"/>
        </w:rPr>
        <w:t>Imnovid</w:t>
      </w:r>
      <w:proofErr w:type="spellEnd"/>
      <w:r w:rsidR="00CB191A" w:rsidRPr="00CB191A">
        <w:rPr>
          <w:b/>
          <w:bCs/>
          <w:sz w:val="28"/>
          <w:szCs w:val="28"/>
          <w:vertAlign w:val="superscript"/>
          <w:lang w:val="nl-NL"/>
        </w:rPr>
        <w:t>©</w:t>
      </w:r>
      <w:r w:rsidR="00CB191A">
        <w:rPr>
          <w:b/>
          <w:bCs/>
          <w:sz w:val="28"/>
          <w:szCs w:val="28"/>
          <w:lang w:val="nl-NL"/>
        </w:rPr>
        <w:t xml:space="preserve">) </w:t>
      </w:r>
      <w:r w:rsidR="00CB191A" w:rsidRPr="00CB191A">
        <w:rPr>
          <w:b/>
          <w:bCs/>
          <w:sz w:val="28"/>
          <w:szCs w:val="28"/>
          <w:lang w:val="nl-NL"/>
        </w:rPr>
        <w:t>en dexamethason voor de behandeling van volwassen</w:t>
      </w:r>
      <w:r w:rsidR="00CB191A">
        <w:rPr>
          <w:b/>
          <w:bCs/>
          <w:sz w:val="28"/>
          <w:szCs w:val="28"/>
          <w:lang w:val="nl-NL"/>
        </w:rPr>
        <w:t xml:space="preserve"> </w:t>
      </w:r>
      <w:r w:rsidR="00CB191A" w:rsidRPr="00CB191A">
        <w:rPr>
          <w:b/>
          <w:bCs/>
          <w:sz w:val="28"/>
          <w:szCs w:val="28"/>
          <w:lang w:val="nl-NL"/>
        </w:rPr>
        <w:t xml:space="preserve">patiënten met multipel myeloom die één eerdere behandellijn met een </w:t>
      </w:r>
      <w:proofErr w:type="spellStart"/>
      <w:r w:rsidR="00CB191A">
        <w:rPr>
          <w:b/>
          <w:bCs/>
          <w:sz w:val="28"/>
          <w:szCs w:val="28"/>
          <w:lang w:val="nl-NL"/>
        </w:rPr>
        <w:t>p</w:t>
      </w:r>
      <w:r w:rsidR="00CB191A" w:rsidRPr="00CB191A">
        <w:rPr>
          <w:b/>
          <w:bCs/>
          <w:sz w:val="28"/>
          <w:szCs w:val="28"/>
          <w:lang w:val="nl-NL"/>
        </w:rPr>
        <w:t>roteasoomremmer</w:t>
      </w:r>
      <w:proofErr w:type="spellEnd"/>
      <w:r w:rsidR="00CB191A" w:rsidRPr="00CB191A">
        <w:rPr>
          <w:b/>
          <w:bCs/>
          <w:sz w:val="28"/>
          <w:szCs w:val="28"/>
          <w:lang w:val="nl-NL"/>
        </w:rPr>
        <w:t xml:space="preserve"> en</w:t>
      </w:r>
      <w:r w:rsidR="00CB191A">
        <w:rPr>
          <w:b/>
          <w:bCs/>
          <w:sz w:val="28"/>
          <w:szCs w:val="28"/>
          <w:lang w:val="nl-NL"/>
        </w:rPr>
        <w:t xml:space="preserve"> </w:t>
      </w:r>
      <w:proofErr w:type="spellStart"/>
      <w:r w:rsidR="00CB191A" w:rsidRPr="00CB191A">
        <w:rPr>
          <w:b/>
          <w:bCs/>
          <w:sz w:val="28"/>
          <w:szCs w:val="28"/>
          <w:lang w:val="nl-NL"/>
        </w:rPr>
        <w:t>lenalidomide</w:t>
      </w:r>
      <w:proofErr w:type="spellEnd"/>
      <w:r w:rsidR="00CB191A" w:rsidRPr="00CB191A">
        <w:rPr>
          <w:b/>
          <w:bCs/>
          <w:sz w:val="28"/>
          <w:szCs w:val="28"/>
          <w:lang w:val="nl-NL"/>
        </w:rPr>
        <w:t xml:space="preserve"> hebben gehad en die refractair waren</w:t>
      </w:r>
      <w:r w:rsidR="00CB191A">
        <w:rPr>
          <w:b/>
          <w:bCs/>
          <w:sz w:val="28"/>
          <w:szCs w:val="28"/>
          <w:lang w:val="nl-NL"/>
        </w:rPr>
        <w:t xml:space="preserve"> v</w:t>
      </w:r>
      <w:r w:rsidR="00CB191A" w:rsidRPr="00CB191A">
        <w:rPr>
          <w:b/>
          <w:bCs/>
          <w:sz w:val="28"/>
          <w:szCs w:val="28"/>
          <w:lang w:val="nl-NL"/>
        </w:rPr>
        <w:t xml:space="preserve">oor </w:t>
      </w:r>
      <w:proofErr w:type="spellStart"/>
      <w:r w:rsidR="00CB191A" w:rsidRPr="00CB191A">
        <w:rPr>
          <w:b/>
          <w:bCs/>
          <w:sz w:val="28"/>
          <w:szCs w:val="28"/>
          <w:lang w:val="nl-NL"/>
        </w:rPr>
        <w:t>lenalidomide</w:t>
      </w:r>
      <w:proofErr w:type="spellEnd"/>
      <w:r w:rsidR="00CB191A" w:rsidRPr="00CB191A">
        <w:rPr>
          <w:b/>
          <w:bCs/>
          <w:sz w:val="28"/>
          <w:szCs w:val="28"/>
          <w:lang w:val="nl-NL"/>
        </w:rPr>
        <w:t>, of die minstens twee</w:t>
      </w:r>
      <w:r w:rsidR="00CB191A">
        <w:rPr>
          <w:b/>
          <w:bCs/>
          <w:sz w:val="28"/>
          <w:szCs w:val="28"/>
          <w:lang w:val="nl-NL"/>
        </w:rPr>
        <w:t xml:space="preserve"> </w:t>
      </w:r>
      <w:r w:rsidR="00CB191A" w:rsidRPr="00CB191A">
        <w:rPr>
          <w:b/>
          <w:bCs/>
          <w:sz w:val="28"/>
          <w:szCs w:val="28"/>
          <w:lang w:val="nl-NL"/>
        </w:rPr>
        <w:t xml:space="preserve">eerdere behandellijnen hebben gehad waaronder </w:t>
      </w:r>
      <w:proofErr w:type="spellStart"/>
      <w:r w:rsidR="00CB191A" w:rsidRPr="00CB191A">
        <w:rPr>
          <w:b/>
          <w:bCs/>
          <w:sz w:val="28"/>
          <w:szCs w:val="28"/>
          <w:lang w:val="nl-NL"/>
        </w:rPr>
        <w:t>lenalidomide</w:t>
      </w:r>
      <w:proofErr w:type="spellEnd"/>
      <w:r w:rsidR="00CB191A" w:rsidRPr="00CB191A">
        <w:rPr>
          <w:b/>
          <w:bCs/>
          <w:sz w:val="28"/>
          <w:szCs w:val="28"/>
          <w:lang w:val="nl-NL"/>
        </w:rPr>
        <w:t xml:space="preserve"> en een </w:t>
      </w:r>
      <w:proofErr w:type="spellStart"/>
      <w:r w:rsidR="00CB191A" w:rsidRPr="00CB191A">
        <w:rPr>
          <w:b/>
          <w:bCs/>
          <w:sz w:val="28"/>
          <w:szCs w:val="28"/>
          <w:lang w:val="nl-NL"/>
        </w:rPr>
        <w:t>proteasoomremmer</w:t>
      </w:r>
      <w:proofErr w:type="spellEnd"/>
      <w:r w:rsidR="00CB191A" w:rsidRPr="00CB191A">
        <w:rPr>
          <w:b/>
          <w:bCs/>
          <w:sz w:val="28"/>
          <w:szCs w:val="28"/>
          <w:lang w:val="nl-NL"/>
        </w:rPr>
        <w:t xml:space="preserve"> en die</w:t>
      </w:r>
      <w:r w:rsidR="00CB191A">
        <w:rPr>
          <w:b/>
          <w:bCs/>
          <w:sz w:val="28"/>
          <w:szCs w:val="28"/>
          <w:lang w:val="nl-NL"/>
        </w:rPr>
        <w:t xml:space="preserve"> </w:t>
      </w:r>
      <w:r w:rsidR="00CB191A" w:rsidRPr="00CB191A">
        <w:rPr>
          <w:b/>
          <w:bCs/>
          <w:sz w:val="28"/>
          <w:szCs w:val="28"/>
          <w:lang w:val="nl-NL"/>
        </w:rPr>
        <w:t>bij of na de laatste behandeling ziekteprogressie hebben vertoond</w:t>
      </w:r>
      <w:r w:rsidR="00CB191A">
        <w:rPr>
          <w:b/>
          <w:bCs/>
          <w:sz w:val="28"/>
          <w:szCs w:val="28"/>
          <w:lang w:val="nl-NL"/>
        </w:rPr>
        <w:t>.</w:t>
      </w:r>
      <w:r w:rsidR="009C0CB0" w:rsidRPr="009C0CB0">
        <w:rPr>
          <w:b/>
          <w:bCs/>
          <w:sz w:val="28"/>
          <w:szCs w:val="28"/>
          <w:vertAlign w:val="superscript"/>
          <w:lang w:val="nl-NL"/>
        </w:rPr>
        <w:t>1</w:t>
      </w:r>
    </w:p>
    <w:p w14:paraId="306A0077" w14:textId="6DA0A0D5" w:rsidR="00633488" w:rsidRDefault="00633488" w:rsidP="00633488">
      <w:pPr>
        <w:pStyle w:val="NoSpacing"/>
        <w:rPr>
          <w:b/>
          <w:bCs/>
          <w:sz w:val="28"/>
          <w:szCs w:val="28"/>
          <w:lang w:val="nl-NL"/>
        </w:rPr>
      </w:pPr>
    </w:p>
    <w:p w14:paraId="4646EFC8" w14:textId="43936734" w:rsidR="00633488" w:rsidRDefault="00633488" w:rsidP="00633488">
      <w:pPr>
        <w:pStyle w:val="NoSpacing"/>
        <w:rPr>
          <w:b/>
          <w:bCs/>
          <w:sz w:val="28"/>
          <w:szCs w:val="28"/>
          <w:lang w:val="nl-NL"/>
        </w:rPr>
      </w:pPr>
      <w:r>
        <w:rPr>
          <w:b/>
          <w:bCs/>
          <w:sz w:val="28"/>
          <w:szCs w:val="28"/>
          <w:lang w:val="nl-NL"/>
        </w:rPr>
        <w:t>Inhoudsopgave:</w:t>
      </w:r>
    </w:p>
    <w:p w14:paraId="08EB0398" w14:textId="2E235A9E" w:rsidR="00633488" w:rsidRDefault="00633488" w:rsidP="00633488">
      <w:pPr>
        <w:pStyle w:val="NoSpacing"/>
        <w:rPr>
          <w:b/>
          <w:bCs/>
          <w:sz w:val="28"/>
          <w:szCs w:val="28"/>
          <w:lang w:val="nl-NL"/>
        </w:rPr>
      </w:pPr>
    </w:p>
    <w:p w14:paraId="588259E8" w14:textId="77777777" w:rsidR="00633488" w:rsidRPr="00633488" w:rsidRDefault="00633488" w:rsidP="00633488">
      <w:pPr>
        <w:pStyle w:val="NoSpacing"/>
        <w:numPr>
          <w:ilvl w:val="0"/>
          <w:numId w:val="1"/>
        </w:numPr>
        <w:rPr>
          <w:sz w:val="24"/>
          <w:szCs w:val="24"/>
        </w:rPr>
      </w:pPr>
      <w:r w:rsidRPr="00633488">
        <w:rPr>
          <w:sz w:val="24"/>
          <w:szCs w:val="24"/>
        </w:rPr>
        <w:t xml:space="preserve">Doel </w:t>
      </w:r>
      <w:proofErr w:type="spellStart"/>
      <w:r w:rsidRPr="00633488">
        <w:rPr>
          <w:sz w:val="24"/>
          <w:szCs w:val="24"/>
        </w:rPr>
        <w:t>behandeling</w:t>
      </w:r>
      <w:proofErr w:type="spellEnd"/>
    </w:p>
    <w:p w14:paraId="1BBFF692" w14:textId="77777777" w:rsidR="00633488" w:rsidRPr="00633488" w:rsidRDefault="00633488" w:rsidP="00633488">
      <w:pPr>
        <w:pStyle w:val="NoSpacing"/>
        <w:numPr>
          <w:ilvl w:val="0"/>
          <w:numId w:val="1"/>
        </w:numPr>
        <w:rPr>
          <w:sz w:val="24"/>
          <w:szCs w:val="24"/>
        </w:rPr>
      </w:pPr>
      <w:proofErr w:type="spellStart"/>
      <w:r w:rsidRPr="00633488">
        <w:rPr>
          <w:sz w:val="24"/>
          <w:szCs w:val="24"/>
        </w:rPr>
        <w:t>Definities</w:t>
      </w:r>
      <w:proofErr w:type="spellEnd"/>
    </w:p>
    <w:p w14:paraId="2E62F7FC" w14:textId="77777777" w:rsidR="00633488" w:rsidRPr="00633488" w:rsidRDefault="00633488" w:rsidP="00633488">
      <w:pPr>
        <w:pStyle w:val="NoSpacing"/>
        <w:numPr>
          <w:ilvl w:val="0"/>
          <w:numId w:val="1"/>
        </w:numPr>
        <w:rPr>
          <w:sz w:val="24"/>
          <w:szCs w:val="24"/>
          <w:lang w:val="nl-NL"/>
        </w:rPr>
      </w:pPr>
      <w:r w:rsidRPr="00633488">
        <w:rPr>
          <w:sz w:val="24"/>
          <w:szCs w:val="24"/>
          <w:lang w:val="nl-NL"/>
        </w:rPr>
        <w:t>Indicatie</w:t>
      </w:r>
    </w:p>
    <w:p w14:paraId="25D05A30" w14:textId="77777777" w:rsidR="00633488" w:rsidRPr="00633488" w:rsidRDefault="00633488" w:rsidP="00633488">
      <w:pPr>
        <w:pStyle w:val="NoSpacing"/>
        <w:numPr>
          <w:ilvl w:val="0"/>
          <w:numId w:val="1"/>
        </w:numPr>
        <w:rPr>
          <w:sz w:val="24"/>
          <w:szCs w:val="24"/>
        </w:rPr>
      </w:pPr>
      <w:r w:rsidRPr="00633488">
        <w:rPr>
          <w:sz w:val="24"/>
          <w:szCs w:val="24"/>
        </w:rPr>
        <w:t>Contra-</w:t>
      </w:r>
      <w:proofErr w:type="spellStart"/>
      <w:r w:rsidRPr="00633488">
        <w:rPr>
          <w:sz w:val="24"/>
          <w:szCs w:val="24"/>
        </w:rPr>
        <w:t>indicaties</w:t>
      </w:r>
      <w:proofErr w:type="spellEnd"/>
    </w:p>
    <w:p w14:paraId="45209C88" w14:textId="77777777" w:rsidR="00633488" w:rsidRPr="00633488" w:rsidRDefault="00633488" w:rsidP="00633488">
      <w:pPr>
        <w:pStyle w:val="NoSpacing"/>
        <w:numPr>
          <w:ilvl w:val="0"/>
          <w:numId w:val="1"/>
        </w:numPr>
        <w:rPr>
          <w:sz w:val="24"/>
          <w:szCs w:val="24"/>
          <w:lang w:val="nl-NL"/>
        </w:rPr>
      </w:pPr>
      <w:r w:rsidRPr="00633488">
        <w:rPr>
          <w:sz w:val="24"/>
          <w:szCs w:val="24"/>
          <w:lang w:val="nl-NL"/>
        </w:rPr>
        <w:t xml:space="preserve">Toelichting werking geneesmiddelen </w:t>
      </w:r>
    </w:p>
    <w:p w14:paraId="0F21F6FC" w14:textId="77777777" w:rsidR="00633488" w:rsidRPr="00633488" w:rsidRDefault="00633488" w:rsidP="00633488">
      <w:pPr>
        <w:pStyle w:val="NoSpacing"/>
        <w:numPr>
          <w:ilvl w:val="0"/>
          <w:numId w:val="1"/>
        </w:numPr>
        <w:rPr>
          <w:sz w:val="24"/>
          <w:szCs w:val="24"/>
        </w:rPr>
      </w:pPr>
      <w:proofErr w:type="spellStart"/>
      <w:r w:rsidRPr="00633488">
        <w:rPr>
          <w:sz w:val="24"/>
          <w:szCs w:val="24"/>
        </w:rPr>
        <w:t>Werkwijze</w:t>
      </w:r>
      <w:proofErr w:type="spellEnd"/>
    </w:p>
    <w:p w14:paraId="250CD267" w14:textId="77777777" w:rsidR="00633488" w:rsidRPr="00633488" w:rsidRDefault="00633488" w:rsidP="00633488">
      <w:pPr>
        <w:pStyle w:val="NoSpacing"/>
        <w:numPr>
          <w:ilvl w:val="1"/>
          <w:numId w:val="1"/>
        </w:numPr>
        <w:rPr>
          <w:sz w:val="24"/>
          <w:szCs w:val="24"/>
          <w:lang w:val="nl-NL"/>
        </w:rPr>
      </w:pPr>
      <w:r w:rsidRPr="00633488">
        <w:rPr>
          <w:sz w:val="24"/>
          <w:szCs w:val="24"/>
          <w:lang w:val="nl-NL"/>
        </w:rPr>
        <w:t xml:space="preserve">Kuurschema/Dosering </w:t>
      </w:r>
    </w:p>
    <w:p w14:paraId="77F07D60" w14:textId="77777777" w:rsidR="00633488" w:rsidRPr="00633488" w:rsidRDefault="00633488" w:rsidP="00633488">
      <w:pPr>
        <w:pStyle w:val="NoSpacing"/>
        <w:numPr>
          <w:ilvl w:val="1"/>
          <w:numId w:val="1"/>
        </w:numPr>
        <w:rPr>
          <w:sz w:val="24"/>
          <w:szCs w:val="24"/>
        </w:rPr>
      </w:pPr>
      <w:r w:rsidRPr="00633488">
        <w:rPr>
          <w:sz w:val="24"/>
          <w:szCs w:val="24"/>
        </w:rPr>
        <w:t>Pre-</w:t>
      </w:r>
      <w:proofErr w:type="spellStart"/>
      <w:r w:rsidRPr="00633488">
        <w:rPr>
          <w:sz w:val="24"/>
          <w:szCs w:val="24"/>
        </w:rPr>
        <w:t>medicatie</w:t>
      </w:r>
      <w:proofErr w:type="spellEnd"/>
    </w:p>
    <w:p w14:paraId="6006C269" w14:textId="77777777" w:rsidR="00633488" w:rsidRPr="00633488" w:rsidRDefault="00633488" w:rsidP="00633488">
      <w:pPr>
        <w:pStyle w:val="NoSpacing"/>
        <w:numPr>
          <w:ilvl w:val="1"/>
          <w:numId w:val="1"/>
        </w:numPr>
        <w:rPr>
          <w:sz w:val="24"/>
          <w:szCs w:val="24"/>
        </w:rPr>
      </w:pPr>
      <w:r w:rsidRPr="00633488">
        <w:rPr>
          <w:sz w:val="24"/>
          <w:szCs w:val="24"/>
        </w:rPr>
        <w:t>Post-</w:t>
      </w:r>
      <w:proofErr w:type="spellStart"/>
      <w:r w:rsidRPr="00633488">
        <w:rPr>
          <w:sz w:val="24"/>
          <w:szCs w:val="24"/>
        </w:rPr>
        <w:t>medicatie</w:t>
      </w:r>
      <w:proofErr w:type="spellEnd"/>
    </w:p>
    <w:p w14:paraId="7E5D1DC4" w14:textId="77777777" w:rsidR="00633488" w:rsidRPr="00633488" w:rsidRDefault="00633488" w:rsidP="00633488">
      <w:pPr>
        <w:pStyle w:val="NoSpacing"/>
        <w:numPr>
          <w:ilvl w:val="0"/>
          <w:numId w:val="1"/>
        </w:numPr>
        <w:rPr>
          <w:sz w:val="24"/>
          <w:szCs w:val="24"/>
          <w:lang w:val="nl-NL"/>
        </w:rPr>
      </w:pPr>
      <w:r w:rsidRPr="00633488">
        <w:rPr>
          <w:sz w:val="24"/>
          <w:szCs w:val="24"/>
          <w:lang w:val="nl-NL"/>
        </w:rPr>
        <w:t xml:space="preserve">Toedieningswijze </w:t>
      </w:r>
    </w:p>
    <w:p w14:paraId="554BF06C" w14:textId="77777777" w:rsidR="00633488" w:rsidRPr="00633488" w:rsidRDefault="00633488" w:rsidP="00633488">
      <w:pPr>
        <w:pStyle w:val="NoSpacing"/>
        <w:numPr>
          <w:ilvl w:val="0"/>
          <w:numId w:val="1"/>
        </w:numPr>
        <w:rPr>
          <w:sz w:val="24"/>
          <w:szCs w:val="24"/>
        </w:rPr>
      </w:pPr>
      <w:proofErr w:type="spellStart"/>
      <w:r w:rsidRPr="00633488">
        <w:rPr>
          <w:sz w:val="24"/>
          <w:szCs w:val="24"/>
        </w:rPr>
        <w:t>Aandachtspunten</w:t>
      </w:r>
      <w:proofErr w:type="spellEnd"/>
    </w:p>
    <w:p w14:paraId="5D5341C3" w14:textId="77777777" w:rsidR="00633488" w:rsidRPr="00633488" w:rsidRDefault="00633488" w:rsidP="00633488">
      <w:pPr>
        <w:pStyle w:val="NoSpacing"/>
        <w:numPr>
          <w:ilvl w:val="1"/>
          <w:numId w:val="1"/>
        </w:numPr>
        <w:rPr>
          <w:sz w:val="24"/>
          <w:szCs w:val="24"/>
        </w:rPr>
      </w:pPr>
      <w:proofErr w:type="spellStart"/>
      <w:r w:rsidRPr="00633488">
        <w:rPr>
          <w:sz w:val="24"/>
          <w:szCs w:val="24"/>
        </w:rPr>
        <w:t>Voor</w:t>
      </w:r>
      <w:proofErr w:type="spellEnd"/>
      <w:r w:rsidRPr="00633488">
        <w:rPr>
          <w:sz w:val="24"/>
          <w:szCs w:val="24"/>
        </w:rPr>
        <w:t xml:space="preserve"> </w:t>
      </w:r>
      <w:proofErr w:type="spellStart"/>
      <w:r w:rsidRPr="00633488">
        <w:rPr>
          <w:sz w:val="24"/>
          <w:szCs w:val="24"/>
        </w:rPr>
        <w:t>toediening</w:t>
      </w:r>
      <w:proofErr w:type="spellEnd"/>
      <w:r w:rsidRPr="00633488">
        <w:rPr>
          <w:sz w:val="24"/>
          <w:szCs w:val="24"/>
        </w:rPr>
        <w:t xml:space="preserve"> </w:t>
      </w:r>
    </w:p>
    <w:p w14:paraId="5E0ED092" w14:textId="77777777" w:rsidR="00633488" w:rsidRPr="00633488" w:rsidRDefault="00633488" w:rsidP="00633488">
      <w:pPr>
        <w:pStyle w:val="NoSpacing"/>
        <w:numPr>
          <w:ilvl w:val="1"/>
          <w:numId w:val="1"/>
        </w:numPr>
        <w:rPr>
          <w:sz w:val="24"/>
          <w:szCs w:val="24"/>
          <w:lang w:val="nl-NL"/>
        </w:rPr>
      </w:pPr>
      <w:r w:rsidRPr="00633488">
        <w:rPr>
          <w:sz w:val="24"/>
          <w:szCs w:val="24"/>
          <w:lang w:val="nl-NL"/>
        </w:rPr>
        <w:t xml:space="preserve">Tijdens toediening </w:t>
      </w:r>
    </w:p>
    <w:p w14:paraId="79645F1B" w14:textId="77777777" w:rsidR="00633488" w:rsidRPr="00633488" w:rsidRDefault="00633488" w:rsidP="00633488">
      <w:pPr>
        <w:pStyle w:val="NoSpacing"/>
        <w:numPr>
          <w:ilvl w:val="1"/>
          <w:numId w:val="1"/>
        </w:numPr>
        <w:rPr>
          <w:sz w:val="24"/>
          <w:szCs w:val="24"/>
          <w:lang w:val="nl-NL"/>
        </w:rPr>
      </w:pPr>
      <w:r w:rsidRPr="00633488">
        <w:rPr>
          <w:sz w:val="24"/>
          <w:szCs w:val="24"/>
          <w:lang w:val="nl-NL"/>
        </w:rPr>
        <w:t xml:space="preserve">Na toediening </w:t>
      </w:r>
    </w:p>
    <w:p w14:paraId="1AA1887F" w14:textId="77777777" w:rsidR="00633488" w:rsidRPr="00633488" w:rsidRDefault="00633488" w:rsidP="00633488">
      <w:pPr>
        <w:pStyle w:val="NoSpacing"/>
        <w:numPr>
          <w:ilvl w:val="0"/>
          <w:numId w:val="1"/>
        </w:numPr>
        <w:rPr>
          <w:sz w:val="24"/>
          <w:szCs w:val="24"/>
        </w:rPr>
      </w:pPr>
      <w:proofErr w:type="spellStart"/>
      <w:r w:rsidRPr="00633488">
        <w:rPr>
          <w:sz w:val="24"/>
          <w:szCs w:val="24"/>
        </w:rPr>
        <w:t>Belangrijkste</w:t>
      </w:r>
      <w:proofErr w:type="spellEnd"/>
      <w:r w:rsidRPr="00633488">
        <w:rPr>
          <w:sz w:val="24"/>
          <w:szCs w:val="24"/>
        </w:rPr>
        <w:t xml:space="preserve"> </w:t>
      </w:r>
      <w:proofErr w:type="spellStart"/>
      <w:r w:rsidRPr="00633488">
        <w:rPr>
          <w:sz w:val="24"/>
          <w:szCs w:val="24"/>
        </w:rPr>
        <w:t>bijwerkingen</w:t>
      </w:r>
      <w:proofErr w:type="spellEnd"/>
    </w:p>
    <w:p w14:paraId="41FE2303" w14:textId="77777777" w:rsidR="00633488" w:rsidRPr="00633488" w:rsidRDefault="00633488" w:rsidP="00633488">
      <w:pPr>
        <w:pStyle w:val="NoSpacing"/>
        <w:numPr>
          <w:ilvl w:val="1"/>
          <w:numId w:val="1"/>
        </w:numPr>
        <w:rPr>
          <w:sz w:val="24"/>
          <w:szCs w:val="24"/>
        </w:rPr>
      </w:pPr>
      <w:proofErr w:type="spellStart"/>
      <w:r w:rsidRPr="00633488">
        <w:rPr>
          <w:sz w:val="24"/>
          <w:szCs w:val="24"/>
        </w:rPr>
        <w:t>Algemeen</w:t>
      </w:r>
      <w:proofErr w:type="spellEnd"/>
    </w:p>
    <w:p w14:paraId="4D9210BE" w14:textId="77777777" w:rsidR="00633488" w:rsidRPr="00633488" w:rsidRDefault="00633488" w:rsidP="00633488">
      <w:pPr>
        <w:pStyle w:val="NoSpacing"/>
        <w:numPr>
          <w:ilvl w:val="1"/>
          <w:numId w:val="1"/>
        </w:numPr>
        <w:rPr>
          <w:sz w:val="24"/>
          <w:szCs w:val="24"/>
        </w:rPr>
      </w:pPr>
      <w:proofErr w:type="spellStart"/>
      <w:r w:rsidRPr="00633488">
        <w:rPr>
          <w:sz w:val="24"/>
          <w:szCs w:val="24"/>
        </w:rPr>
        <w:t>Nierinsufficiëntie</w:t>
      </w:r>
      <w:proofErr w:type="spellEnd"/>
    </w:p>
    <w:p w14:paraId="77991D04" w14:textId="77777777" w:rsidR="00633488" w:rsidRPr="00633488" w:rsidRDefault="00633488" w:rsidP="00633488">
      <w:pPr>
        <w:pStyle w:val="NoSpacing"/>
        <w:numPr>
          <w:ilvl w:val="1"/>
          <w:numId w:val="1"/>
        </w:numPr>
        <w:rPr>
          <w:sz w:val="24"/>
          <w:szCs w:val="24"/>
        </w:rPr>
      </w:pPr>
      <w:proofErr w:type="spellStart"/>
      <w:r w:rsidRPr="00633488">
        <w:rPr>
          <w:sz w:val="24"/>
          <w:szCs w:val="24"/>
        </w:rPr>
        <w:t>Leverinsufficiëntie</w:t>
      </w:r>
      <w:proofErr w:type="spellEnd"/>
    </w:p>
    <w:p w14:paraId="47FB140B" w14:textId="5C9CFB88" w:rsidR="00633488" w:rsidRPr="00633488" w:rsidRDefault="00633488" w:rsidP="00633488">
      <w:pPr>
        <w:pStyle w:val="NoSpacing"/>
        <w:numPr>
          <w:ilvl w:val="0"/>
          <w:numId w:val="1"/>
        </w:numPr>
        <w:rPr>
          <w:sz w:val="24"/>
          <w:szCs w:val="24"/>
        </w:rPr>
      </w:pPr>
      <w:proofErr w:type="spellStart"/>
      <w:r w:rsidRPr="00633488">
        <w:rPr>
          <w:sz w:val="24"/>
          <w:szCs w:val="24"/>
        </w:rPr>
        <w:t>Bronnen</w:t>
      </w:r>
      <w:proofErr w:type="spellEnd"/>
      <w:r w:rsidR="005003C0">
        <w:rPr>
          <w:sz w:val="24"/>
          <w:szCs w:val="24"/>
        </w:rPr>
        <w:t>/</w:t>
      </w:r>
      <w:proofErr w:type="spellStart"/>
      <w:r w:rsidR="005003C0">
        <w:rPr>
          <w:sz w:val="24"/>
          <w:szCs w:val="24"/>
        </w:rPr>
        <w:t>Referenties</w:t>
      </w:r>
      <w:proofErr w:type="spellEnd"/>
    </w:p>
    <w:p w14:paraId="063CD1ED" w14:textId="57596974" w:rsidR="00633488" w:rsidRDefault="00633488" w:rsidP="00633488">
      <w:pPr>
        <w:pStyle w:val="NoSpacing"/>
        <w:numPr>
          <w:ilvl w:val="0"/>
          <w:numId w:val="1"/>
        </w:numPr>
        <w:rPr>
          <w:sz w:val="24"/>
          <w:szCs w:val="24"/>
        </w:rPr>
      </w:pPr>
      <w:proofErr w:type="spellStart"/>
      <w:r w:rsidRPr="00633488">
        <w:rPr>
          <w:sz w:val="24"/>
          <w:szCs w:val="24"/>
        </w:rPr>
        <w:t>Contactgegevens</w:t>
      </w:r>
      <w:proofErr w:type="spellEnd"/>
      <w:r w:rsidRPr="00633488">
        <w:rPr>
          <w:sz w:val="24"/>
          <w:szCs w:val="24"/>
        </w:rPr>
        <w:t xml:space="preserve"> Janssen</w:t>
      </w:r>
    </w:p>
    <w:p w14:paraId="1C2F7B48" w14:textId="2D303350" w:rsidR="00633488" w:rsidRPr="00633488" w:rsidRDefault="00633488" w:rsidP="00633488">
      <w:pPr>
        <w:pStyle w:val="NoSpacing"/>
        <w:numPr>
          <w:ilvl w:val="0"/>
          <w:numId w:val="1"/>
        </w:numPr>
        <w:rPr>
          <w:sz w:val="24"/>
          <w:szCs w:val="24"/>
        </w:rPr>
      </w:pPr>
      <w:r>
        <w:rPr>
          <w:sz w:val="24"/>
          <w:szCs w:val="24"/>
        </w:rPr>
        <w:t>Disclaimer</w:t>
      </w:r>
    </w:p>
    <w:p w14:paraId="1D581DF7" w14:textId="77777777" w:rsidR="00633488" w:rsidRDefault="00633488" w:rsidP="00633488">
      <w:pPr>
        <w:pStyle w:val="NoSpacing"/>
        <w:rPr>
          <w:b/>
          <w:bCs/>
          <w:sz w:val="28"/>
          <w:szCs w:val="28"/>
          <w:lang w:val="nl-NL"/>
        </w:rPr>
      </w:pPr>
    </w:p>
    <w:p w14:paraId="10E8A450" w14:textId="77777777" w:rsidR="00633488" w:rsidRPr="00633488" w:rsidRDefault="00633488" w:rsidP="00633488">
      <w:pPr>
        <w:pStyle w:val="NoSpacing"/>
        <w:rPr>
          <w:b/>
          <w:bCs/>
          <w:sz w:val="28"/>
          <w:szCs w:val="28"/>
          <w:lang w:val="nl-NL"/>
        </w:rPr>
      </w:pPr>
    </w:p>
    <w:p w14:paraId="54CA0A70" w14:textId="65FF4400" w:rsidR="00633488" w:rsidRDefault="00633488"/>
    <w:p w14:paraId="0CE0A1A0" w14:textId="79DDFDF1" w:rsidR="00633488" w:rsidRDefault="00633488">
      <w:r>
        <w:br w:type="page"/>
      </w:r>
    </w:p>
    <w:p w14:paraId="5ED15B68" w14:textId="712227DD" w:rsidR="00633488" w:rsidRPr="00633488" w:rsidRDefault="00633488" w:rsidP="00633488">
      <w:pPr>
        <w:pStyle w:val="NoSpacing"/>
        <w:numPr>
          <w:ilvl w:val="0"/>
          <w:numId w:val="2"/>
        </w:numPr>
        <w:rPr>
          <w:b/>
          <w:bCs/>
          <w:color w:val="002060"/>
          <w:sz w:val="24"/>
          <w:szCs w:val="24"/>
        </w:rPr>
      </w:pPr>
      <w:r w:rsidRPr="00633488">
        <w:rPr>
          <w:b/>
          <w:bCs/>
          <w:color w:val="002060"/>
          <w:sz w:val="24"/>
          <w:szCs w:val="24"/>
        </w:rPr>
        <w:lastRenderedPageBreak/>
        <w:t xml:space="preserve">Doel </w:t>
      </w:r>
      <w:proofErr w:type="spellStart"/>
      <w:r w:rsidRPr="00633488">
        <w:rPr>
          <w:b/>
          <w:bCs/>
          <w:color w:val="002060"/>
          <w:sz w:val="24"/>
          <w:szCs w:val="24"/>
        </w:rPr>
        <w:t>behandeling</w:t>
      </w:r>
      <w:proofErr w:type="spellEnd"/>
    </w:p>
    <w:p w14:paraId="3F058BD3" w14:textId="77777777" w:rsidR="005003C0" w:rsidRDefault="005003C0" w:rsidP="005003C0">
      <w:pPr>
        <w:pStyle w:val="NoSpacing"/>
        <w:ind w:left="720"/>
        <w:rPr>
          <w:lang w:val="nl-BE"/>
        </w:rPr>
      </w:pPr>
    </w:p>
    <w:p w14:paraId="63D9265C" w14:textId="6C882BCF" w:rsidR="005003C0" w:rsidRDefault="005003C0" w:rsidP="005003C0">
      <w:pPr>
        <w:pStyle w:val="NoSpacing"/>
        <w:ind w:left="720"/>
        <w:rPr>
          <w:lang w:val="nl-BE"/>
        </w:rPr>
      </w:pPr>
      <w:r w:rsidRPr="6503EA4F">
        <w:rPr>
          <w:lang w:val="nl-BE"/>
        </w:rPr>
        <w:t>Bij patiënten met Multipel Myeloom wordt chemotherapie en doelgerichte therapie ingezet ter verlenging van het leven, symptomen van de ziekte te limiteren en/of te verlichten en om te zorgen voor een acceptabele kwaliteit van leven.</w:t>
      </w:r>
    </w:p>
    <w:p w14:paraId="5E70D165" w14:textId="67798E7F" w:rsidR="00633488" w:rsidRDefault="00633488" w:rsidP="00633488">
      <w:pPr>
        <w:pStyle w:val="NoSpacing"/>
        <w:rPr>
          <w:sz w:val="24"/>
          <w:szCs w:val="24"/>
          <w:lang w:val="nl-NL"/>
        </w:rPr>
      </w:pPr>
    </w:p>
    <w:p w14:paraId="3D5C993F" w14:textId="77777777" w:rsidR="005003C0" w:rsidRPr="005003C0" w:rsidRDefault="005003C0" w:rsidP="00633488">
      <w:pPr>
        <w:pStyle w:val="NoSpacing"/>
        <w:rPr>
          <w:sz w:val="24"/>
          <w:szCs w:val="24"/>
          <w:lang w:val="nl-NL"/>
        </w:rPr>
      </w:pPr>
    </w:p>
    <w:p w14:paraId="20AC8D02" w14:textId="77777777" w:rsidR="00633488" w:rsidRPr="00633488" w:rsidRDefault="00633488" w:rsidP="00633488">
      <w:pPr>
        <w:pStyle w:val="NoSpacing"/>
        <w:numPr>
          <w:ilvl w:val="0"/>
          <w:numId w:val="2"/>
        </w:numPr>
        <w:rPr>
          <w:b/>
          <w:bCs/>
          <w:color w:val="002060"/>
          <w:sz w:val="24"/>
          <w:szCs w:val="24"/>
        </w:rPr>
      </w:pPr>
      <w:proofErr w:type="spellStart"/>
      <w:r w:rsidRPr="00633488">
        <w:rPr>
          <w:b/>
          <w:bCs/>
          <w:color w:val="002060"/>
          <w:sz w:val="24"/>
          <w:szCs w:val="24"/>
        </w:rPr>
        <w:t>Definities</w:t>
      </w:r>
      <w:proofErr w:type="spellEnd"/>
    </w:p>
    <w:p w14:paraId="7DCDFE78" w14:textId="77777777" w:rsidR="00633488" w:rsidRDefault="00633488" w:rsidP="00633488">
      <w:pPr>
        <w:pStyle w:val="NoSpacing"/>
        <w:ind w:left="360"/>
        <w:rPr>
          <w:sz w:val="24"/>
          <w:szCs w:val="24"/>
          <w:lang w:val="nl-NL"/>
        </w:rPr>
      </w:pPr>
    </w:p>
    <w:p w14:paraId="469763F3" w14:textId="67AD1477" w:rsidR="005003C0" w:rsidRPr="00287236" w:rsidRDefault="005003C0" w:rsidP="005003C0">
      <w:pPr>
        <w:pStyle w:val="NoSpacing"/>
        <w:numPr>
          <w:ilvl w:val="0"/>
          <w:numId w:val="4"/>
        </w:numPr>
        <w:rPr>
          <w:lang w:val="nl-NL"/>
        </w:rPr>
      </w:pPr>
      <w:r w:rsidRPr="00287236">
        <w:rPr>
          <w:lang w:val="nl-NL"/>
        </w:rPr>
        <w:t xml:space="preserve">Daratumumab </w:t>
      </w:r>
      <w:r w:rsidR="00287236" w:rsidRPr="00287236">
        <w:rPr>
          <w:lang w:val="nl-NL"/>
        </w:rPr>
        <w:t>voor subcutane injectie (</w:t>
      </w:r>
      <w:r w:rsidRPr="00287236">
        <w:rPr>
          <w:lang w:val="nl-NL"/>
        </w:rPr>
        <w:t>SC</w:t>
      </w:r>
      <w:r w:rsidR="00287236" w:rsidRPr="00287236">
        <w:rPr>
          <w:lang w:val="nl-NL"/>
        </w:rPr>
        <w:t>)</w:t>
      </w:r>
      <w:r w:rsidRPr="00287236">
        <w:rPr>
          <w:lang w:val="nl-NL"/>
        </w:rPr>
        <w:t xml:space="preserve"> = Darzalex® </w:t>
      </w:r>
      <w:r w:rsidR="00287236">
        <w:rPr>
          <w:lang w:val="nl-NL"/>
        </w:rPr>
        <w:t>SC</w:t>
      </w:r>
    </w:p>
    <w:p w14:paraId="2EE2BB1C" w14:textId="77777777" w:rsidR="00CB191A" w:rsidRPr="0015405B" w:rsidRDefault="00CB191A" w:rsidP="00CB191A">
      <w:pPr>
        <w:pStyle w:val="NoSpacing"/>
        <w:numPr>
          <w:ilvl w:val="0"/>
          <w:numId w:val="4"/>
        </w:numPr>
      </w:pPr>
      <w:r>
        <w:t xml:space="preserve">Pomalidomide = </w:t>
      </w:r>
      <w:proofErr w:type="spellStart"/>
      <w:r>
        <w:t>Imnovid</w:t>
      </w:r>
      <w:proofErr w:type="spellEnd"/>
      <w:r w:rsidRPr="6503EA4F">
        <w:t>®</w:t>
      </w:r>
    </w:p>
    <w:p w14:paraId="58D4ED26" w14:textId="336DD676" w:rsidR="005003C0" w:rsidRPr="005003C0" w:rsidRDefault="005003C0" w:rsidP="005003C0">
      <w:pPr>
        <w:pStyle w:val="NoSpacing"/>
        <w:numPr>
          <w:ilvl w:val="0"/>
          <w:numId w:val="4"/>
        </w:numPr>
        <w:rPr>
          <w:lang w:val="nl-NL"/>
        </w:rPr>
      </w:pPr>
      <w:r w:rsidRPr="005003C0">
        <w:rPr>
          <w:lang w:val="nl-NL"/>
        </w:rPr>
        <w:t xml:space="preserve">Dexamethason = </w:t>
      </w:r>
      <w:r w:rsidR="001A5F77">
        <w:rPr>
          <w:lang w:val="nl-NL"/>
        </w:rPr>
        <w:t>Ziekenhuisafhankelijk; e</w:t>
      </w:r>
      <w:r w:rsidRPr="005003C0">
        <w:rPr>
          <w:lang w:val="nl-NL"/>
        </w:rPr>
        <w:t xml:space="preserve">r bestaan verschillende </w:t>
      </w:r>
      <w:r w:rsidR="001A5F77">
        <w:rPr>
          <w:lang w:val="nl-NL"/>
        </w:rPr>
        <w:t>producten met de werkzame stof dexamethason</w:t>
      </w:r>
    </w:p>
    <w:p w14:paraId="6A53137A" w14:textId="77777777" w:rsidR="00633488" w:rsidRDefault="00633488" w:rsidP="00633488">
      <w:pPr>
        <w:pStyle w:val="NoSpacing"/>
        <w:ind w:left="360"/>
        <w:rPr>
          <w:sz w:val="24"/>
          <w:szCs w:val="24"/>
          <w:lang w:val="nl-NL"/>
        </w:rPr>
      </w:pPr>
    </w:p>
    <w:p w14:paraId="155B3148" w14:textId="77777777" w:rsidR="00633488" w:rsidRDefault="00633488" w:rsidP="00633488">
      <w:pPr>
        <w:pStyle w:val="NoSpacing"/>
        <w:ind w:left="360"/>
        <w:rPr>
          <w:sz w:val="24"/>
          <w:szCs w:val="24"/>
          <w:lang w:val="nl-NL"/>
        </w:rPr>
      </w:pPr>
    </w:p>
    <w:p w14:paraId="16AA529B" w14:textId="1C1AAFC2" w:rsidR="00633488" w:rsidRPr="00633488" w:rsidRDefault="00633488" w:rsidP="00633488">
      <w:pPr>
        <w:pStyle w:val="NoSpacing"/>
        <w:numPr>
          <w:ilvl w:val="0"/>
          <w:numId w:val="2"/>
        </w:numPr>
        <w:rPr>
          <w:b/>
          <w:bCs/>
          <w:color w:val="002060"/>
          <w:sz w:val="24"/>
          <w:szCs w:val="24"/>
          <w:lang w:val="nl-NL"/>
        </w:rPr>
      </w:pPr>
      <w:r w:rsidRPr="00633488">
        <w:rPr>
          <w:b/>
          <w:bCs/>
          <w:color w:val="002060"/>
          <w:sz w:val="24"/>
          <w:szCs w:val="24"/>
          <w:lang w:val="nl-NL"/>
        </w:rPr>
        <w:t>Indicatie</w:t>
      </w:r>
    </w:p>
    <w:p w14:paraId="46D576A0" w14:textId="0634A71A" w:rsidR="00633488" w:rsidRDefault="00633488" w:rsidP="00633488">
      <w:pPr>
        <w:pStyle w:val="NoSpacing"/>
        <w:rPr>
          <w:sz w:val="24"/>
          <w:szCs w:val="24"/>
          <w:lang w:val="nl-NL"/>
        </w:rPr>
      </w:pPr>
    </w:p>
    <w:p w14:paraId="04994007" w14:textId="0B552AD5" w:rsidR="00633488" w:rsidRDefault="005003C0" w:rsidP="00CB191A">
      <w:pPr>
        <w:pStyle w:val="NoSpacing"/>
        <w:ind w:left="708"/>
        <w:rPr>
          <w:lang w:val="nl-NL"/>
        </w:rPr>
      </w:pPr>
      <w:r w:rsidRPr="00096F66">
        <w:rPr>
          <w:rFonts w:ascii="Calibri" w:hAnsi="Calibri" w:cs="Calibri"/>
          <w:lang w:val="nl-NL"/>
        </w:rPr>
        <w:t>D</w:t>
      </w:r>
      <w:r w:rsidR="00287236">
        <w:rPr>
          <w:rFonts w:ascii="Calibri" w:hAnsi="Calibri" w:cs="Calibri"/>
          <w:lang w:val="nl-NL"/>
        </w:rPr>
        <w:t>aratumumab</w:t>
      </w:r>
      <w:r w:rsidRPr="00096F66">
        <w:rPr>
          <w:rFonts w:ascii="Calibri" w:hAnsi="Calibri" w:cs="Calibri"/>
          <w:lang w:val="nl-NL"/>
        </w:rPr>
        <w:t xml:space="preserve"> SC is geïndiceerd </w:t>
      </w:r>
      <w:r w:rsidR="00CB191A" w:rsidRPr="00CB191A">
        <w:rPr>
          <w:lang w:val="nl-NL"/>
        </w:rPr>
        <w:t xml:space="preserve">in combinatie met </w:t>
      </w:r>
      <w:proofErr w:type="spellStart"/>
      <w:r w:rsidR="00CB191A" w:rsidRPr="00CB191A">
        <w:rPr>
          <w:lang w:val="nl-NL"/>
        </w:rPr>
        <w:t>pomalidomide</w:t>
      </w:r>
      <w:proofErr w:type="spellEnd"/>
      <w:r w:rsidR="00CB191A" w:rsidRPr="00CB191A">
        <w:rPr>
          <w:lang w:val="nl-NL"/>
        </w:rPr>
        <w:t xml:space="preserve"> en dexamethason voor de behandeling van volwassen</w:t>
      </w:r>
      <w:r w:rsidR="00CB191A">
        <w:rPr>
          <w:lang w:val="nl-NL"/>
        </w:rPr>
        <w:t xml:space="preserve"> </w:t>
      </w:r>
      <w:r w:rsidR="00CB191A" w:rsidRPr="00CB191A">
        <w:rPr>
          <w:lang w:val="nl-NL"/>
        </w:rPr>
        <w:t xml:space="preserve">patiënten met multipel myeloom die één eerdere behandellijn met een </w:t>
      </w:r>
      <w:proofErr w:type="spellStart"/>
      <w:r w:rsidR="00CB191A" w:rsidRPr="00CB191A">
        <w:rPr>
          <w:lang w:val="nl-NL"/>
        </w:rPr>
        <w:t>proteasoomremmer</w:t>
      </w:r>
      <w:proofErr w:type="spellEnd"/>
      <w:r w:rsidR="00CB191A" w:rsidRPr="00CB191A">
        <w:rPr>
          <w:lang w:val="nl-NL"/>
        </w:rPr>
        <w:t xml:space="preserve"> en</w:t>
      </w:r>
      <w:r w:rsidR="00CB191A">
        <w:rPr>
          <w:lang w:val="nl-NL"/>
        </w:rPr>
        <w:t xml:space="preserve"> </w:t>
      </w:r>
      <w:proofErr w:type="spellStart"/>
      <w:r w:rsidR="00CB191A" w:rsidRPr="00CB191A">
        <w:rPr>
          <w:lang w:val="nl-NL"/>
        </w:rPr>
        <w:t>lenalidomide</w:t>
      </w:r>
      <w:proofErr w:type="spellEnd"/>
      <w:r w:rsidR="00CB191A" w:rsidRPr="00CB191A">
        <w:rPr>
          <w:lang w:val="nl-NL"/>
        </w:rPr>
        <w:t xml:space="preserve"> hebben gehad en die refractair waren voor </w:t>
      </w:r>
      <w:proofErr w:type="spellStart"/>
      <w:r w:rsidR="00CB191A" w:rsidRPr="00CB191A">
        <w:rPr>
          <w:lang w:val="nl-NL"/>
        </w:rPr>
        <w:t>lenalidomide</w:t>
      </w:r>
      <w:proofErr w:type="spellEnd"/>
      <w:r w:rsidR="00CB191A" w:rsidRPr="00CB191A">
        <w:rPr>
          <w:lang w:val="nl-NL"/>
        </w:rPr>
        <w:t>, of die minstens twee</w:t>
      </w:r>
      <w:r w:rsidR="00CB191A">
        <w:rPr>
          <w:lang w:val="nl-NL"/>
        </w:rPr>
        <w:t xml:space="preserve"> </w:t>
      </w:r>
      <w:r w:rsidR="00CB191A" w:rsidRPr="00CB191A">
        <w:rPr>
          <w:lang w:val="nl-NL"/>
        </w:rPr>
        <w:t xml:space="preserve">eerdere behandellijnen hebben gehad waaronder </w:t>
      </w:r>
      <w:proofErr w:type="spellStart"/>
      <w:r w:rsidR="00CB191A" w:rsidRPr="00CB191A">
        <w:rPr>
          <w:lang w:val="nl-NL"/>
        </w:rPr>
        <w:t>lenalidomide</w:t>
      </w:r>
      <w:proofErr w:type="spellEnd"/>
      <w:r w:rsidR="00CB191A" w:rsidRPr="00CB191A">
        <w:rPr>
          <w:lang w:val="nl-NL"/>
        </w:rPr>
        <w:t xml:space="preserve"> en een </w:t>
      </w:r>
      <w:proofErr w:type="spellStart"/>
      <w:r w:rsidR="00CB191A" w:rsidRPr="00CB191A">
        <w:rPr>
          <w:lang w:val="nl-NL"/>
        </w:rPr>
        <w:t>proteasoomremmer</w:t>
      </w:r>
      <w:proofErr w:type="spellEnd"/>
      <w:r w:rsidR="00CB191A" w:rsidRPr="00CB191A">
        <w:rPr>
          <w:lang w:val="nl-NL"/>
        </w:rPr>
        <w:t xml:space="preserve"> en die</w:t>
      </w:r>
      <w:r w:rsidR="00CB191A">
        <w:rPr>
          <w:lang w:val="nl-NL"/>
        </w:rPr>
        <w:t xml:space="preserve"> b</w:t>
      </w:r>
      <w:r w:rsidR="00CB191A" w:rsidRPr="00CB191A">
        <w:rPr>
          <w:lang w:val="nl-NL"/>
        </w:rPr>
        <w:t xml:space="preserve">ij of na de laatste behandeling </w:t>
      </w:r>
      <w:r w:rsidR="00CB191A">
        <w:rPr>
          <w:lang w:val="nl-NL"/>
        </w:rPr>
        <w:t>z</w:t>
      </w:r>
      <w:r w:rsidR="00CB191A" w:rsidRPr="00CB191A">
        <w:rPr>
          <w:lang w:val="nl-NL"/>
        </w:rPr>
        <w:t>iekteprogressie hebben vertoond</w:t>
      </w:r>
      <w:r w:rsidR="00CB191A">
        <w:rPr>
          <w:lang w:val="nl-NL"/>
        </w:rPr>
        <w:t>.</w:t>
      </w:r>
    </w:p>
    <w:p w14:paraId="5D58F05D" w14:textId="77777777" w:rsidR="00CB191A" w:rsidRPr="00CB191A" w:rsidRDefault="00CB191A" w:rsidP="00CB191A">
      <w:pPr>
        <w:pStyle w:val="NoSpacing"/>
        <w:ind w:left="708"/>
        <w:rPr>
          <w:lang w:val="nl-NL"/>
        </w:rPr>
      </w:pPr>
    </w:p>
    <w:p w14:paraId="1F2FC5B9" w14:textId="0639FDDA" w:rsidR="00633488" w:rsidRPr="00633488" w:rsidRDefault="00633488" w:rsidP="00633488">
      <w:pPr>
        <w:pStyle w:val="NoSpacing"/>
        <w:numPr>
          <w:ilvl w:val="0"/>
          <w:numId w:val="2"/>
        </w:numPr>
        <w:rPr>
          <w:b/>
          <w:bCs/>
          <w:color w:val="002060"/>
          <w:sz w:val="24"/>
          <w:szCs w:val="24"/>
        </w:rPr>
      </w:pPr>
      <w:r w:rsidRPr="00633488">
        <w:rPr>
          <w:b/>
          <w:bCs/>
          <w:color w:val="002060"/>
          <w:sz w:val="24"/>
          <w:szCs w:val="24"/>
        </w:rPr>
        <w:t>Contra-</w:t>
      </w:r>
      <w:proofErr w:type="spellStart"/>
      <w:r w:rsidRPr="00633488">
        <w:rPr>
          <w:b/>
          <w:bCs/>
          <w:color w:val="002060"/>
          <w:sz w:val="24"/>
          <w:szCs w:val="24"/>
        </w:rPr>
        <w:t>indicaties</w:t>
      </w:r>
      <w:proofErr w:type="spellEnd"/>
    </w:p>
    <w:p w14:paraId="79CC353C" w14:textId="2A2342F9" w:rsidR="00633488" w:rsidRDefault="00633488" w:rsidP="00633488">
      <w:pPr>
        <w:pStyle w:val="NoSpacing"/>
        <w:rPr>
          <w:sz w:val="24"/>
          <w:szCs w:val="24"/>
        </w:rPr>
      </w:pPr>
    </w:p>
    <w:p w14:paraId="3CD045A1" w14:textId="2ECE7EAC" w:rsidR="005003C0" w:rsidRDefault="005003C0" w:rsidP="005003C0">
      <w:pPr>
        <w:pStyle w:val="NoSpacing"/>
        <w:ind w:left="720"/>
        <w:rPr>
          <w:u w:val="single"/>
          <w:lang w:val="nl-NL"/>
        </w:rPr>
      </w:pPr>
      <w:r w:rsidRPr="6503EA4F">
        <w:rPr>
          <w:u w:val="single"/>
          <w:lang w:val="nl-NL"/>
        </w:rPr>
        <w:t>Daratu</w:t>
      </w:r>
      <w:r>
        <w:rPr>
          <w:u w:val="single"/>
          <w:lang w:val="nl-NL"/>
        </w:rPr>
        <w:t>mu</w:t>
      </w:r>
      <w:r w:rsidRPr="6503EA4F">
        <w:rPr>
          <w:u w:val="single"/>
          <w:lang w:val="nl-NL"/>
        </w:rPr>
        <w:t>mab</w:t>
      </w:r>
      <w:r w:rsidR="00287236">
        <w:rPr>
          <w:u w:val="single"/>
          <w:lang w:val="nl-NL"/>
        </w:rPr>
        <w:t xml:space="preserve"> SC</w:t>
      </w:r>
    </w:p>
    <w:p w14:paraId="3B574568" w14:textId="77777777" w:rsidR="005003C0" w:rsidRDefault="005003C0" w:rsidP="005003C0">
      <w:pPr>
        <w:pStyle w:val="NoSpacing"/>
        <w:ind w:left="720"/>
        <w:rPr>
          <w:lang w:val="nl-NL"/>
        </w:rPr>
      </w:pPr>
      <w:r w:rsidRPr="00D23509">
        <w:rPr>
          <w:lang w:val="nl-NL"/>
        </w:rPr>
        <w:t xml:space="preserve">Overgevoeligheid voor de werkzame stof of voor een van </w:t>
      </w:r>
      <w:r>
        <w:rPr>
          <w:lang w:val="nl-NL"/>
        </w:rPr>
        <w:t>volgende</w:t>
      </w:r>
      <w:r w:rsidRPr="00D23509">
        <w:rPr>
          <w:lang w:val="nl-NL"/>
        </w:rPr>
        <w:t xml:space="preserve"> hulpstoffen</w:t>
      </w:r>
      <w:r>
        <w:rPr>
          <w:lang w:val="nl-NL"/>
        </w:rPr>
        <w:t>:</w:t>
      </w:r>
      <w:r w:rsidRPr="00D23509">
        <w:rPr>
          <w:lang w:val="nl-NL"/>
        </w:rPr>
        <w:t xml:space="preserve"> Recombinant humaan </w:t>
      </w:r>
      <w:proofErr w:type="spellStart"/>
      <w:r w:rsidRPr="00D23509">
        <w:rPr>
          <w:lang w:val="nl-NL"/>
        </w:rPr>
        <w:t>hyaluronidase</w:t>
      </w:r>
      <w:proofErr w:type="spellEnd"/>
      <w:r w:rsidRPr="00D23509">
        <w:rPr>
          <w:lang w:val="nl-NL"/>
        </w:rPr>
        <w:t xml:space="preserve"> (rHuPH20)</w:t>
      </w:r>
      <w:r>
        <w:rPr>
          <w:lang w:val="nl-NL"/>
        </w:rPr>
        <w:t>,</w:t>
      </w:r>
      <w:r w:rsidRPr="00D23509">
        <w:rPr>
          <w:lang w:val="nl-NL"/>
        </w:rPr>
        <w:t xml:space="preserve"> L-histidine L-</w:t>
      </w:r>
      <w:proofErr w:type="spellStart"/>
      <w:r w:rsidRPr="00D23509">
        <w:rPr>
          <w:lang w:val="nl-NL"/>
        </w:rPr>
        <w:t>histidinehydrochloride</w:t>
      </w:r>
      <w:proofErr w:type="spellEnd"/>
      <w:r w:rsidRPr="00D23509">
        <w:rPr>
          <w:lang w:val="nl-NL"/>
        </w:rPr>
        <w:t>-</w:t>
      </w:r>
      <w:proofErr w:type="spellStart"/>
      <w:r w:rsidRPr="00D23509">
        <w:rPr>
          <w:lang w:val="nl-NL"/>
        </w:rPr>
        <w:t>monohydraat</w:t>
      </w:r>
      <w:proofErr w:type="spellEnd"/>
      <w:r>
        <w:rPr>
          <w:lang w:val="nl-NL"/>
        </w:rPr>
        <w:t>,</w:t>
      </w:r>
      <w:r w:rsidRPr="00D23509">
        <w:rPr>
          <w:lang w:val="nl-NL"/>
        </w:rPr>
        <w:t xml:space="preserve"> L-</w:t>
      </w:r>
      <w:proofErr w:type="spellStart"/>
      <w:r w:rsidRPr="00D23509">
        <w:rPr>
          <w:lang w:val="nl-NL"/>
        </w:rPr>
        <w:t>methionine</w:t>
      </w:r>
      <w:proofErr w:type="spellEnd"/>
      <w:r>
        <w:rPr>
          <w:lang w:val="nl-NL"/>
        </w:rPr>
        <w:t>,</w:t>
      </w:r>
      <w:r w:rsidRPr="00D23509">
        <w:rPr>
          <w:lang w:val="nl-NL"/>
        </w:rPr>
        <w:t xml:space="preserve"> Polysorbaat 20</w:t>
      </w:r>
      <w:r>
        <w:rPr>
          <w:lang w:val="nl-NL"/>
        </w:rPr>
        <w:t>,</w:t>
      </w:r>
      <w:r w:rsidRPr="00D23509">
        <w:rPr>
          <w:lang w:val="nl-NL"/>
        </w:rPr>
        <w:t xml:space="preserve"> Sorbitol (E420)</w:t>
      </w:r>
      <w:r>
        <w:rPr>
          <w:lang w:val="nl-NL"/>
        </w:rPr>
        <w:t>,</w:t>
      </w:r>
      <w:r w:rsidRPr="00D23509">
        <w:rPr>
          <w:lang w:val="nl-NL"/>
        </w:rPr>
        <w:t xml:space="preserve"> Water voor injecties</w:t>
      </w:r>
      <w:r>
        <w:rPr>
          <w:lang w:val="nl-NL"/>
        </w:rPr>
        <w:t xml:space="preserve">. </w:t>
      </w:r>
    </w:p>
    <w:p w14:paraId="5B9B5F38" w14:textId="6E47706A" w:rsidR="005003C0" w:rsidRDefault="005003C0" w:rsidP="005003C0">
      <w:pPr>
        <w:pStyle w:val="paragraph"/>
        <w:spacing w:before="0" w:beforeAutospacing="0" w:after="0" w:afterAutospacing="0"/>
        <w:ind w:left="720"/>
        <w:textAlignment w:val="baseline"/>
        <w:rPr>
          <w:rStyle w:val="eop"/>
          <w:rFonts w:ascii="Calibri" w:hAnsi="Calibri" w:cs="Calibri"/>
          <w:sz w:val="22"/>
          <w:szCs w:val="22"/>
        </w:rPr>
      </w:pPr>
      <w:r>
        <w:rPr>
          <w:rStyle w:val="eop"/>
          <w:rFonts w:ascii="Calibri" w:hAnsi="Calibri" w:cs="Calibri"/>
          <w:sz w:val="22"/>
          <w:szCs w:val="22"/>
        </w:rPr>
        <w:t xml:space="preserve">Voor uitgebreidere informatie zie de </w:t>
      </w:r>
      <w:proofErr w:type="spellStart"/>
      <w:r>
        <w:rPr>
          <w:rStyle w:val="eop"/>
          <w:rFonts w:ascii="Calibri" w:hAnsi="Calibri" w:cs="Calibri"/>
          <w:sz w:val="22"/>
          <w:szCs w:val="22"/>
        </w:rPr>
        <w:t>SmPC</w:t>
      </w:r>
      <w:proofErr w:type="spellEnd"/>
      <w:r>
        <w:rPr>
          <w:rStyle w:val="eop"/>
          <w:rFonts w:ascii="Calibri" w:hAnsi="Calibri" w:cs="Calibri"/>
          <w:sz w:val="22"/>
          <w:szCs w:val="22"/>
        </w:rPr>
        <w:t xml:space="preserve"> van Darzalex</w:t>
      </w:r>
      <w:r w:rsidRPr="005003C0">
        <w:rPr>
          <w:rStyle w:val="eop"/>
          <w:rFonts w:ascii="Calibri" w:hAnsi="Calibri" w:cs="Calibri"/>
          <w:sz w:val="22"/>
          <w:szCs w:val="22"/>
          <w:vertAlign w:val="superscript"/>
        </w:rPr>
        <w:t>1</w:t>
      </w:r>
      <w:r>
        <w:rPr>
          <w:rStyle w:val="eop"/>
          <w:rFonts w:ascii="Calibri" w:hAnsi="Calibri" w:cs="Calibri"/>
          <w:sz w:val="22"/>
          <w:szCs w:val="22"/>
        </w:rPr>
        <w:t>.</w:t>
      </w:r>
    </w:p>
    <w:p w14:paraId="70A2D820" w14:textId="77777777" w:rsidR="005003C0" w:rsidRDefault="005003C0" w:rsidP="005003C0">
      <w:pPr>
        <w:pStyle w:val="NoSpacing"/>
        <w:ind w:left="720"/>
        <w:rPr>
          <w:lang w:val="nl-NL"/>
        </w:rPr>
      </w:pPr>
    </w:p>
    <w:p w14:paraId="572A9F8F" w14:textId="77777777" w:rsidR="007706C9" w:rsidRDefault="007706C9" w:rsidP="007706C9">
      <w:pPr>
        <w:pStyle w:val="paragraph"/>
        <w:spacing w:before="0" w:beforeAutospacing="0" w:after="0" w:afterAutospacing="0"/>
        <w:ind w:firstLine="720"/>
        <w:textAlignment w:val="baseline"/>
        <w:rPr>
          <w:rFonts w:asciiTheme="minorHAnsi" w:eastAsiaTheme="minorEastAsia" w:hAnsiTheme="minorHAnsi" w:cstheme="minorBidi"/>
          <w:sz w:val="22"/>
          <w:szCs w:val="22"/>
          <w:u w:val="single"/>
        </w:rPr>
      </w:pPr>
      <w:proofErr w:type="spellStart"/>
      <w:r>
        <w:rPr>
          <w:rFonts w:asciiTheme="minorHAnsi" w:eastAsiaTheme="minorEastAsia" w:hAnsiTheme="minorHAnsi" w:cstheme="minorBidi"/>
          <w:sz w:val="22"/>
          <w:szCs w:val="22"/>
          <w:u w:val="single"/>
        </w:rPr>
        <w:t>Pomalidomide</w:t>
      </w:r>
      <w:proofErr w:type="spellEnd"/>
    </w:p>
    <w:p w14:paraId="7124B8CE" w14:textId="1FB0E822" w:rsidR="005003C0" w:rsidRDefault="007706C9" w:rsidP="007706C9">
      <w:pPr>
        <w:pStyle w:val="NoSpacing"/>
        <w:ind w:left="720"/>
        <w:rPr>
          <w:rStyle w:val="eop"/>
          <w:rFonts w:ascii="Calibri" w:hAnsi="Calibri" w:cs="Calibri"/>
          <w:lang w:val="nl-NL"/>
        </w:rPr>
      </w:pPr>
      <w:r w:rsidRPr="007706C9">
        <w:rPr>
          <w:rStyle w:val="eop"/>
          <w:rFonts w:ascii="Calibri" w:hAnsi="Calibri" w:cs="Calibri"/>
          <w:lang w:val="nl-NL"/>
        </w:rPr>
        <w:t xml:space="preserve">Voor </w:t>
      </w:r>
      <w:r w:rsidR="001F1605">
        <w:rPr>
          <w:rStyle w:val="eop"/>
          <w:rFonts w:ascii="Calibri" w:hAnsi="Calibri" w:cs="Calibri"/>
          <w:lang w:val="nl-NL"/>
        </w:rPr>
        <w:t>actuele gegevens over contra-indicaties;</w:t>
      </w:r>
      <w:r w:rsidRPr="007706C9">
        <w:rPr>
          <w:rStyle w:val="eop"/>
          <w:rFonts w:ascii="Calibri" w:hAnsi="Calibri" w:cs="Calibri"/>
          <w:lang w:val="nl-NL"/>
        </w:rPr>
        <w:t xml:space="preserve"> zie de </w:t>
      </w:r>
      <w:proofErr w:type="spellStart"/>
      <w:r w:rsidRPr="007706C9">
        <w:rPr>
          <w:rStyle w:val="eop"/>
          <w:rFonts w:ascii="Calibri" w:hAnsi="Calibri" w:cs="Calibri"/>
          <w:lang w:val="nl-NL"/>
        </w:rPr>
        <w:t>SmPC</w:t>
      </w:r>
      <w:proofErr w:type="spellEnd"/>
      <w:r w:rsidRPr="007706C9">
        <w:rPr>
          <w:rStyle w:val="eop"/>
          <w:rFonts w:ascii="Calibri" w:hAnsi="Calibri" w:cs="Calibri"/>
          <w:lang w:val="nl-NL"/>
        </w:rPr>
        <w:t xml:space="preserve"> van Imnovid</w:t>
      </w:r>
      <w:r w:rsidRPr="007706C9">
        <w:rPr>
          <w:rStyle w:val="eop"/>
          <w:rFonts w:ascii="Calibri" w:hAnsi="Calibri" w:cs="Calibri"/>
          <w:vertAlign w:val="superscript"/>
          <w:lang w:val="nl-NL"/>
        </w:rPr>
        <w:t>2</w:t>
      </w:r>
      <w:r w:rsidRPr="007706C9">
        <w:rPr>
          <w:rStyle w:val="eop"/>
          <w:rFonts w:ascii="Calibri" w:hAnsi="Calibri" w:cs="Calibri"/>
          <w:lang w:val="nl-NL"/>
        </w:rPr>
        <w:t>.</w:t>
      </w:r>
    </w:p>
    <w:p w14:paraId="39D7923D" w14:textId="77777777" w:rsidR="007706C9" w:rsidRPr="007706C9" w:rsidRDefault="007706C9" w:rsidP="007706C9">
      <w:pPr>
        <w:pStyle w:val="NoSpacing"/>
        <w:ind w:left="720"/>
        <w:rPr>
          <w:lang w:val="nl-NL"/>
        </w:rPr>
      </w:pPr>
    </w:p>
    <w:p w14:paraId="67423A0C" w14:textId="77777777" w:rsidR="005003C0" w:rsidRDefault="005003C0" w:rsidP="005003C0">
      <w:pPr>
        <w:pStyle w:val="paragraph"/>
        <w:spacing w:before="0" w:beforeAutospacing="0" w:after="0" w:afterAutospacing="0"/>
        <w:ind w:firstLine="720"/>
        <w:textAlignment w:val="baseline"/>
        <w:rPr>
          <w:rStyle w:val="eop"/>
          <w:rFonts w:ascii="Calibri" w:hAnsi="Calibri" w:cs="Calibri"/>
          <w:sz w:val="22"/>
          <w:szCs w:val="22"/>
          <w:u w:val="single"/>
        </w:rPr>
      </w:pPr>
      <w:r w:rsidRPr="6503EA4F">
        <w:rPr>
          <w:rStyle w:val="eop"/>
          <w:rFonts w:ascii="Calibri" w:hAnsi="Calibri" w:cs="Calibri"/>
          <w:sz w:val="22"/>
          <w:szCs w:val="22"/>
          <w:u w:val="single"/>
        </w:rPr>
        <w:t>Dexamethason</w:t>
      </w:r>
    </w:p>
    <w:p w14:paraId="35A8391C" w14:textId="3E161545" w:rsidR="005003C0" w:rsidRPr="001F1605" w:rsidRDefault="001F1605" w:rsidP="001F1605">
      <w:pPr>
        <w:pStyle w:val="NoSpacing"/>
        <w:ind w:left="720"/>
        <w:rPr>
          <w:rStyle w:val="eop"/>
          <w:rFonts w:ascii="Calibri" w:hAnsi="Calibri" w:cs="Calibri"/>
          <w:lang w:val="nl-NL"/>
        </w:rPr>
      </w:pPr>
      <w:r w:rsidRPr="007706C9">
        <w:rPr>
          <w:rStyle w:val="eop"/>
          <w:rFonts w:ascii="Calibri" w:hAnsi="Calibri" w:cs="Calibri"/>
          <w:lang w:val="nl-NL"/>
        </w:rPr>
        <w:t xml:space="preserve">Voor </w:t>
      </w:r>
      <w:r>
        <w:rPr>
          <w:rStyle w:val="eop"/>
          <w:rFonts w:ascii="Calibri" w:hAnsi="Calibri" w:cs="Calibri"/>
          <w:lang w:val="nl-NL"/>
        </w:rPr>
        <w:t>actuele gegevens over contra-indicaties;</w:t>
      </w:r>
      <w:r w:rsidRPr="007706C9">
        <w:rPr>
          <w:rStyle w:val="eop"/>
          <w:rFonts w:ascii="Calibri" w:hAnsi="Calibri" w:cs="Calibri"/>
          <w:lang w:val="nl-NL"/>
        </w:rPr>
        <w:t xml:space="preserve"> zie de </w:t>
      </w:r>
      <w:proofErr w:type="spellStart"/>
      <w:r w:rsidRPr="007706C9">
        <w:rPr>
          <w:rStyle w:val="eop"/>
          <w:rFonts w:ascii="Calibri" w:hAnsi="Calibri" w:cs="Calibri"/>
          <w:lang w:val="nl-NL"/>
        </w:rPr>
        <w:t>SmPC</w:t>
      </w:r>
      <w:proofErr w:type="spellEnd"/>
      <w:r w:rsidRPr="007706C9">
        <w:rPr>
          <w:rStyle w:val="eop"/>
          <w:rFonts w:ascii="Calibri" w:hAnsi="Calibri" w:cs="Calibri"/>
          <w:lang w:val="nl-NL"/>
        </w:rPr>
        <w:t xml:space="preserve"> van</w:t>
      </w:r>
      <w:r w:rsidRPr="001F1605">
        <w:rPr>
          <w:rStyle w:val="eop"/>
          <w:rFonts w:ascii="Calibri" w:hAnsi="Calibri" w:cs="Calibri"/>
          <w:lang w:val="nl-NL"/>
        </w:rPr>
        <w:t xml:space="preserve"> </w:t>
      </w:r>
      <w:r w:rsidR="001A5F77" w:rsidRPr="001F1605">
        <w:rPr>
          <w:rStyle w:val="eop"/>
          <w:rFonts w:ascii="Calibri" w:hAnsi="Calibri" w:cs="Calibri"/>
          <w:lang w:val="nl-NL"/>
        </w:rPr>
        <w:t>dexamethason</w:t>
      </w:r>
      <w:r w:rsidR="005003C0" w:rsidRPr="00D57BBE">
        <w:rPr>
          <w:rStyle w:val="eop"/>
          <w:rFonts w:ascii="Calibri" w:hAnsi="Calibri" w:cs="Calibri"/>
          <w:vertAlign w:val="superscript"/>
          <w:lang w:val="nl-NL"/>
        </w:rPr>
        <w:t>3</w:t>
      </w:r>
      <w:r w:rsidR="005003C0" w:rsidRPr="001F1605">
        <w:rPr>
          <w:rStyle w:val="eop"/>
          <w:rFonts w:ascii="Calibri" w:hAnsi="Calibri" w:cs="Calibri"/>
          <w:lang w:val="nl-NL"/>
        </w:rPr>
        <w:t>.</w:t>
      </w:r>
    </w:p>
    <w:p w14:paraId="25CD0DD2" w14:textId="4697F014" w:rsidR="00633488" w:rsidRPr="005003C0" w:rsidRDefault="00633488" w:rsidP="00633488">
      <w:pPr>
        <w:pStyle w:val="NoSpacing"/>
        <w:rPr>
          <w:sz w:val="24"/>
          <w:szCs w:val="24"/>
          <w:lang w:val="nl-NL"/>
        </w:rPr>
      </w:pPr>
    </w:p>
    <w:p w14:paraId="4DE21159" w14:textId="77777777" w:rsidR="00633488" w:rsidRPr="005003C0" w:rsidRDefault="00633488" w:rsidP="00633488">
      <w:pPr>
        <w:pStyle w:val="NoSpacing"/>
        <w:rPr>
          <w:sz w:val="24"/>
          <w:szCs w:val="24"/>
          <w:lang w:val="nl-NL"/>
        </w:rPr>
      </w:pPr>
    </w:p>
    <w:p w14:paraId="18F10A01" w14:textId="77777777" w:rsidR="00756A2D" w:rsidRDefault="00756A2D">
      <w:pPr>
        <w:rPr>
          <w:b/>
          <w:bCs/>
          <w:color w:val="002060"/>
          <w:sz w:val="24"/>
          <w:szCs w:val="24"/>
        </w:rPr>
      </w:pPr>
      <w:r>
        <w:rPr>
          <w:b/>
          <w:bCs/>
          <w:color w:val="002060"/>
          <w:sz w:val="24"/>
          <w:szCs w:val="24"/>
        </w:rPr>
        <w:br w:type="page"/>
      </w:r>
    </w:p>
    <w:p w14:paraId="06C113A4" w14:textId="6645A5A8" w:rsidR="00633488" w:rsidRPr="00633488" w:rsidRDefault="00633488" w:rsidP="00633488">
      <w:pPr>
        <w:pStyle w:val="NoSpacing"/>
        <w:numPr>
          <w:ilvl w:val="0"/>
          <w:numId w:val="2"/>
        </w:numPr>
        <w:rPr>
          <w:b/>
          <w:bCs/>
          <w:color w:val="002060"/>
          <w:sz w:val="24"/>
          <w:szCs w:val="24"/>
          <w:lang w:val="nl-NL"/>
        </w:rPr>
      </w:pPr>
      <w:r w:rsidRPr="00633488">
        <w:rPr>
          <w:b/>
          <w:bCs/>
          <w:color w:val="002060"/>
          <w:sz w:val="24"/>
          <w:szCs w:val="24"/>
          <w:lang w:val="nl-NL"/>
        </w:rPr>
        <w:lastRenderedPageBreak/>
        <w:t xml:space="preserve">Toelichting werking geneesmiddelen </w:t>
      </w:r>
    </w:p>
    <w:p w14:paraId="50954712" w14:textId="09D46B50" w:rsidR="00633488" w:rsidRDefault="00633488" w:rsidP="00633488">
      <w:pPr>
        <w:pStyle w:val="NoSpacing"/>
        <w:rPr>
          <w:sz w:val="24"/>
          <w:szCs w:val="24"/>
          <w:lang w:val="nl-NL"/>
        </w:rPr>
      </w:pPr>
    </w:p>
    <w:p w14:paraId="28881FE0" w14:textId="11A535F1" w:rsidR="001A5F77" w:rsidRDefault="001A5F77" w:rsidP="001A5F77">
      <w:pPr>
        <w:pStyle w:val="ListParagraph"/>
        <w:rPr>
          <w:lang w:val="nl-NL"/>
        </w:rPr>
      </w:pPr>
      <w:r w:rsidRPr="5DF23855">
        <w:rPr>
          <w:u w:val="single"/>
          <w:lang w:val="nl-NL"/>
        </w:rPr>
        <w:t>Daratumum</w:t>
      </w:r>
      <w:r w:rsidRPr="00287236">
        <w:rPr>
          <w:u w:val="single"/>
          <w:lang w:val="nl-NL"/>
        </w:rPr>
        <w:t xml:space="preserve">ab </w:t>
      </w:r>
      <w:r w:rsidR="00287236" w:rsidRPr="00287236">
        <w:rPr>
          <w:u w:val="single"/>
          <w:lang w:val="nl-NL"/>
        </w:rPr>
        <w:t>SC</w:t>
      </w:r>
      <w:r w:rsidR="00756A2D" w:rsidRPr="00756A2D">
        <w:rPr>
          <w:u w:val="single"/>
          <w:vertAlign w:val="superscript"/>
          <w:lang w:val="nl-NL"/>
        </w:rPr>
        <w:t>1</w:t>
      </w:r>
    </w:p>
    <w:p w14:paraId="093BA7D9" w14:textId="7635D047" w:rsidR="001A5F77" w:rsidRPr="003A6FDD" w:rsidRDefault="001A5F77" w:rsidP="001A5F77">
      <w:pPr>
        <w:pStyle w:val="ListParagraph"/>
        <w:rPr>
          <w:lang w:val="nl-NL"/>
        </w:rPr>
      </w:pPr>
      <w:r w:rsidRPr="000F1870">
        <w:rPr>
          <w:lang w:val="nl-NL"/>
        </w:rPr>
        <w:t>Daratumumab</w:t>
      </w:r>
      <w:r w:rsidRPr="5DF23855">
        <w:rPr>
          <w:lang w:val="nl-NL"/>
        </w:rPr>
        <w:t xml:space="preserve"> is een humaan monoklonaal IgG1</w:t>
      </w:r>
      <w:r>
        <w:t>κ</w:t>
      </w:r>
      <w:r w:rsidRPr="5DF23855">
        <w:rPr>
          <w:lang w:val="nl-NL"/>
        </w:rPr>
        <w:t>-antilichaam (</w:t>
      </w:r>
      <w:proofErr w:type="spellStart"/>
      <w:r w:rsidRPr="5DF23855">
        <w:rPr>
          <w:lang w:val="nl-NL"/>
        </w:rPr>
        <w:t>mAb</w:t>
      </w:r>
      <w:proofErr w:type="spellEnd"/>
      <w:r w:rsidRPr="5DF23855">
        <w:rPr>
          <w:lang w:val="nl-NL"/>
        </w:rPr>
        <w:t xml:space="preserve">) dat bindt aan het CD38-eiwit dat tot expressie komt op het oppervlak van cellen bij diverse hematologische maligniteiten, waaronder </w:t>
      </w:r>
      <w:proofErr w:type="spellStart"/>
      <w:r w:rsidRPr="5DF23855">
        <w:rPr>
          <w:lang w:val="nl-NL"/>
        </w:rPr>
        <w:t>klonale</w:t>
      </w:r>
      <w:proofErr w:type="spellEnd"/>
      <w:r w:rsidRPr="5DF23855">
        <w:rPr>
          <w:lang w:val="nl-NL"/>
        </w:rPr>
        <w:t xml:space="preserve"> plasmacellen bij multipel myeloom en AL-amyloïdose, alsook op het oppervlak van andere celtypes en weefsels. Het CD38-eiwit heeft meerdere functies zoals receptor</w:t>
      </w:r>
      <w:r w:rsidR="00C9373A">
        <w:rPr>
          <w:lang w:val="nl-NL"/>
        </w:rPr>
        <w:t>-</w:t>
      </w:r>
      <w:r w:rsidRPr="5DF23855">
        <w:rPr>
          <w:lang w:val="nl-NL"/>
        </w:rPr>
        <w:t xml:space="preserve">gemedieerde adhesie, signalering en enzymatische activiteit. </w:t>
      </w:r>
    </w:p>
    <w:p w14:paraId="50A2F0A5" w14:textId="77777777" w:rsidR="001A5F77" w:rsidRDefault="001A5F77" w:rsidP="001A5F77">
      <w:pPr>
        <w:pStyle w:val="ListParagraph"/>
        <w:rPr>
          <w:lang w:val="nl-NL"/>
        </w:rPr>
      </w:pPr>
    </w:p>
    <w:p w14:paraId="5A4A7B36" w14:textId="77777777" w:rsidR="001A5F77" w:rsidRDefault="001A5F77" w:rsidP="001A5F77">
      <w:pPr>
        <w:pStyle w:val="ListParagraph"/>
        <w:rPr>
          <w:u w:val="single"/>
          <w:lang w:val="nl-NL"/>
        </w:rPr>
      </w:pPr>
    </w:p>
    <w:p w14:paraId="6349EC6C" w14:textId="4D5F264D" w:rsidR="007706C9" w:rsidRDefault="007706C9" w:rsidP="007706C9">
      <w:pPr>
        <w:pStyle w:val="ListParagraph"/>
        <w:rPr>
          <w:lang w:val="nl-NL"/>
        </w:rPr>
      </w:pPr>
      <w:r>
        <w:rPr>
          <w:u w:val="single"/>
          <w:lang w:val="nl-NL"/>
        </w:rPr>
        <w:t>Pomalidomide</w:t>
      </w:r>
      <w:r w:rsidR="00756A2D">
        <w:rPr>
          <w:u w:val="single"/>
          <w:vertAlign w:val="superscript"/>
          <w:lang w:val="nl-NL"/>
        </w:rPr>
        <w:t>4</w:t>
      </w:r>
      <w:r w:rsidRPr="6503EA4F">
        <w:rPr>
          <w:lang w:val="nl-NL"/>
        </w:rPr>
        <w:t xml:space="preserve"> </w:t>
      </w:r>
    </w:p>
    <w:p w14:paraId="25FFCE4B" w14:textId="77777777" w:rsidR="007706C9" w:rsidRPr="00624A0D" w:rsidRDefault="007706C9" w:rsidP="007706C9">
      <w:pPr>
        <w:pStyle w:val="ListParagraph"/>
        <w:rPr>
          <w:lang w:val="nl-NL"/>
        </w:rPr>
      </w:pPr>
      <w:proofErr w:type="spellStart"/>
      <w:r w:rsidRPr="00624A0D">
        <w:rPr>
          <w:lang w:val="nl-NL"/>
        </w:rPr>
        <w:t>Pomalidomide</w:t>
      </w:r>
      <w:proofErr w:type="spellEnd"/>
      <w:r w:rsidRPr="00624A0D">
        <w:rPr>
          <w:lang w:val="nl-NL"/>
        </w:rPr>
        <w:t xml:space="preserve"> bindt rechtstreeks aan het eiwit </w:t>
      </w:r>
      <w:proofErr w:type="spellStart"/>
      <w:r w:rsidRPr="00624A0D">
        <w:rPr>
          <w:lang w:val="nl-NL"/>
        </w:rPr>
        <w:t>cereblon</w:t>
      </w:r>
      <w:proofErr w:type="spellEnd"/>
      <w:r w:rsidRPr="00624A0D">
        <w:rPr>
          <w:lang w:val="nl-NL"/>
        </w:rPr>
        <w:t xml:space="preserve"> (CRBN), onderdeel van een E3- </w:t>
      </w:r>
      <w:proofErr w:type="spellStart"/>
      <w:r w:rsidRPr="00624A0D">
        <w:rPr>
          <w:lang w:val="nl-NL"/>
        </w:rPr>
        <w:t>ubiquitineligasecomplex</w:t>
      </w:r>
      <w:proofErr w:type="spellEnd"/>
      <w:r w:rsidRPr="00624A0D">
        <w:rPr>
          <w:lang w:val="nl-NL"/>
        </w:rPr>
        <w:t>, en remt de auto-</w:t>
      </w:r>
      <w:proofErr w:type="spellStart"/>
      <w:r w:rsidRPr="00624A0D">
        <w:rPr>
          <w:lang w:val="nl-NL"/>
        </w:rPr>
        <w:t>ubiquitinering</w:t>
      </w:r>
      <w:proofErr w:type="spellEnd"/>
      <w:r w:rsidRPr="00624A0D">
        <w:rPr>
          <w:lang w:val="nl-NL"/>
        </w:rPr>
        <w:t xml:space="preserve"> van CRBN binnen dit complex. Hierdoor zorgt het voor afbraak van substraateiwitten </w:t>
      </w:r>
      <w:proofErr w:type="spellStart"/>
      <w:r w:rsidRPr="00624A0D">
        <w:rPr>
          <w:lang w:val="nl-NL"/>
        </w:rPr>
        <w:t>Aiolos</w:t>
      </w:r>
      <w:proofErr w:type="spellEnd"/>
      <w:r w:rsidRPr="00624A0D">
        <w:rPr>
          <w:lang w:val="nl-NL"/>
        </w:rPr>
        <w:t xml:space="preserve"> en </w:t>
      </w:r>
      <w:proofErr w:type="spellStart"/>
      <w:r w:rsidRPr="00624A0D">
        <w:rPr>
          <w:lang w:val="nl-NL"/>
        </w:rPr>
        <w:t>Ikaros</w:t>
      </w:r>
      <w:proofErr w:type="spellEnd"/>
      <w:r w:rsidRPr="00624A0D">
        <w:rPr>
          <w:lang w:val="nl-NL"/>
        </w:rPr>
        <w:t xml:space="preserve"> wat leidt tot directe cytotoxische en </w:t>
      </w:r>
      <w:proofErr w:type="spellStart"/>
      <w:r w:rsidRPr="00624A0D">
        <w:rPr>
          <w:lang w:val="nl-NL"/>
        </w:rPr>
        <w:t>immunomodulerende</w:t>
      </w:r>
      <w:proofErr w:type="spellEnd"/>
      <w:r w:rsidRPr="00624A0D">
        <w:rPr>
          <w:lang w:val="nl-NL"/>
        </w:rPr>
        <w:t xml:space="preserve"> effecten.</w:t>
      </w:r>
    </w:p>
    <w:p w14:paraId="6199CBAA" w14:textId="77777777" w:rsidR="007706C9" w:rsidRPr="00624A0D" w:rsidRDefault="007706C9" w:rsidP="007706C9">
      <w:pPr>
        <w:pStyle w:val="ListParagraph"/>
        <w:rPr>
          <w:lang w:val="nl-NL"/>
        </w:rPr>
      </w:pPr>
    </w:p>
    <w:p w14:paraId="64273057" w14:textId="564D2885" w:rsidR="007706C9" w:rsidRDefault="007706C9" w:rsidP="007706C9">
      <w:pPr>
        <w:pStyle w:val="ListParagraph"/>
        <w:rPr>
          <w:lang w:val="nl-NL"/>
        </w:rPr>
      </w:pPr>
      <w:proofErr w:type="spellStart"/>
      <w:r w:rsidRPr="00624A0D">
        <w:rPr>
          <w:lang w:val="nl-NL"/>
        </w:rPr>
        <w:t>Pomalidomide</w:t>
      </w:r>
      <w:proofErr w:type="spellEnd"/>
      <w:r w:rsidRPr="00624A0D">
        <w:rPr>
          <w:lang w:val="nl-NL"/>
        </w:rPr>
        <w:t xml:space="preserve"> remt de proliferatie en induceert de apoptose van </w:t>
      </w:r>
      <w:proofErr w:type="spellStart"/>
      <w:r w:rsidRPr="00624A0D">
        <w:rPr>
          <w:lang w:val="nl-NL"/>
        </w:rPr>
        <w:t>hematopoëtische</w:t>
      </w:r>
      <w:proofErr w:type="spellEnd"/>
      <w:r w:rsidRPr="00624A0D">
        <w:rPr>
          <w:lang w:val="nl-NL"/>
        </w:rPr>
        <w:t xml:space="preserve"> tumorcellen. Het remt ook de proliferatie van </w:t>
      </w:r>
      <w:proofErr w:type="spellStart"/>
      <w:r w:rsidRPr="00624A0D">
        <w:rPr>
          <w:lang w:val="nl-NL"/>
        </w:rPr>
        <w:t>lenalidomide</w:t>
      </w:r>
      <w:proofErr w:type="spellEnd"/>
      <w:r w:rsidRPr="00624A0D">
        <w:rPr>
          <w:lang w:val="nl-NL"/>
        </w:rPr>
        <w:t xml:space="preserve">-resistente multipel-myeloomcellen. Combinatie met dexamethason werkt synergistisch bij het induceren van tumorcel-apoptose. Het verhoogt T-cel- en NK-cel-gemedieerde immuniteit en remt de productie van pro-inflammatoire cytokinen (zoals TNF-α en IL-6) door monocyten. Remt </w:t>
      </w:r>
      <w:proofErr w:type="gramStart"/>
      <w:r w:rsidRPr="00624A0D">
        <w:rPr>
          <w:lang w:val="nl-NL"/>
        </w:rPr>
        <w:t>tevens</w:t>
      </w:r>
      <w:proofErr w:type="gramEnd"/>
      <w:r w:rsidRPr="00624A0D">
        <w:rPr>
          <w:lang w:val="nl-NL"/>
        </w:rPr>
        <w:t xml:space="preserve"> angiogenese door de migratie en adhesie van endotheelcellen te blokkeren</w:t>
      </w:r>
      <w:r>
        <w:rPr>
          <w:lang w:val="nl-NL"/>
        </w:rPr>
        <w:t>.</w:t>
      </w:r>
      <w:r w:rsidRPr="001A5F77">
        <w:rPr>
          <w:vertAlign w:val="superscript"/>
          <w:lang w:val="nl-NL"/>
        </w:rPr>
        <w:t xml:space="preserve"> </w:t>
      </w:r>
    </w:p>
    <w:p w14:paraId="041E283D" w14:textId="77777777" w:rsidR="001A5F77" w:rsidRDefault="001A5F77" w:rsidP="001A5F77">
      <w:pPr>
        <w:pStyle w:val="ListParagraph"/>
        <w:rPr>
          <w:lang w:val="nl-NL"/>
        </w:rPr>
      </w:pPr>
    </w:p>
    <w:p w14:paraId="13FA6AE1" w14:textId="0A12DB86" w:rsidR="001A5F77" w:rsidRDefault="001A5F77" w:rsidP="001A5F77">
      <w:pPr>
        <w:pStyle w:val="ListParagraph"/>
        <w:rPr>
          <w:rFonts w:eastAsiaTheme="minorEastAsia"/>
          <w:color w:val="000000" w:themeColor="text1"/>
          <w:sz w:val="23"/>
          <w:szCs w:val="23"/>
          <w:lang w:val="nl-NL"/>
        </w:rPr>
      </w:pPr>
      <w:r w:rsidRPr="5DF23855">
        <w:rPr>
          <w:rFonts w:eastAsiaTheme="minorEastAsia"/>
          <w:u w:val="single"/>
          <w:lang w:val="nl-NL"/>
        </w:rPr>
        <w:t>Dexamethason</w:t>
      </w:r>
      <w:r w:rsidR="00756A2D" w:rsidRPr="001A5F77">
        <w:rPr>
          <w:rStyle w:val="eop"/>
          <w:rFonts w:ascii="Calibri" w:hAnsi="Calibri" w:cs="Calibri"/>
          <w:vertAlign w:val="superscript"/>
          <w:lang w:val="nl-NL"/>
        </w:rPr>
        <w:t>4</w:t>
      </w:r>
      <w:r w:rsidRPr="5DF23855">
        <w:rPr>
          <w:rFonts w:eastAsiaTheme="minorEastAsia"/>
          <w:color w:val="000000" w:themeColor="text1"/>
          <w:sz w:val="23"/>
          <w:szCs w:val="23"/>
          <w:lang w:val="nl-NL"/>
        </w:rPr>
        <w:t xml:space="preserve"> </w:t>
      </w:r>
    </w:p>
    <w:p w14:paraId="08E2EE7E" w14:textId="664BEEBE" w:rsidR="001A5F77" w:rsidRPr="00403B09" w:rsidRDefault="001A5F77" w:rsidP="001A5F77">
      <w:pPr>
        <w:pStyle w:val="ListParagraph"/>
        <w:rPr>
          <w:rStyle w:val="eop"/>
          <w:rFonts w:eastAsiaTheme="minorEastAsia"/>
          <w:color w:val="000000" w:themeColor="text1"/>
          <w:sz w:val="23"/>
          <w:szCs w:val="23"/>
          <w:lang w:val="nl-NL"/>
        </w:rPr>
      </w:pPr>
      <w:r w:rsidRPr="00403B09">
        <w:rPr>
          <w:rStyle w:val="eop"/>
          <w:rFonts w:ascii="Calibri" w:hAnsi="Calibri" w:cs="Calibri"/>
          <w:lang w:val="nl-NL"/>
        </w:rPr>
        <w:t xml:space="preserve">Gefluorideerd corticosteroïd met sterke </w:t>
      </w:r>
      <w:proofErr w:type="spellStart"/>
      <w:r w:rsidRPr="00403B09">
        <w:rPr>
          <w:rStyle w:val="eop"/>
          <w:rFonts w:ascii="Calibri" w:hAnsi="Calibri" w:cs="Calibri"/>
          <w:lang w:val="nl-NL"/>
        </w:rPr>
        <w:t>glucocorticoïde</w:t>
      </w:r>
      <w:proofErr w:type="spellEnd"/>
      <w:r w:rsidRPr="00403B09">
        <w:rPr>
          <w:rStyle w:val="eop"/>
          <w:rFonts w:ascii="Calibri" w:hAnsi="Calibri" w:cs="Calibri"/>
          <w:lang w:val="nl-NL"/>
        </w:rPr>
        <w:t xml:space="preserve"> eigenschappen; het mineralocorticoïde effect is te verwaarlozen. </w:t>
      </w:r>
      <w:r w:rsidRPr="00972805">
        <w:rPr>
          <w:rStyle w:val="eop"/>
          <w:rFonts w:ascii="Calibri" w:hAnsi="Calibri" w:cs="Calibri"/>
          <w:lang w:val="nl-NL"/>
        </w:rPr>
        <w:t xml:space="preserve">Vanwege de lange biologische halfwaardetijd is dexamethason met name geschikt in gevallen waarin een continue </w:t>
      </w:r>
      <w:proofErr w:type="spellStart"/>
      <w:r w:rsidRPr="00972805">
        <w:rPr>
          <w:rStyle w:val="eop"/>
          <w:rFonts w:ascii="Calibri" w:hAnsi="Calibri" w:cs="Calibri"/>
          <w:lang w:val="nl-NL"/>
        </w:rPr>
        <w:t>glucocorticoïde</w:t>
      </w:r>
      <w:proofErr w:type="spellEnd"/>
      <w:r w:rsidRPr="00972805">
        <w:rPr>
          <w:rStyle w:val="eop"/>
          <w:rFonts w:ascii="Calibri" w:hAnsi="Calibri" w:cs="Calibri"/>
          <w:lang w:val="nl-NL"/>
        </w:rPr>
        <w:t xml:space="preserve"> werking is gewenst. </w:t>
      </w:r>
    </w:p>
    <w:p w14:paraId="69D50E6E" w14:textId="77777777" w:rsidR="00633488" w:rsidRPr="00633488" w:rsidRDefault="00633488" w:rsidP="00633488">
      <w:pPr>
        <w:pStyle w:val="NoSpacing"/>
        <w:rPr>
          <w:sz w:val="24"/>
          <w:szCs w:val="24"/>
          <w:lang w:val="nl-NL"/>
        </w:rPr>
      </w:pPr>
    </w:p>
    <w:p w14:paraId="381B2E5B" w14:textId="74C05440" w:rsidR="00633488" w:rsidRPr="00633488" w:rsidRDefault="00633488" w:rsidP="00633488">
      <w:pPr>
        <w:pStyle w:val="NoSpacing"/>
        <w:numPr>
          <w:ilvl w:val="0"/>
          <w:numId w:val="2"/>
        </w:numPr>
        <w:rPr>
          <w:b/>
          <w:bCs/>
          <w:color w:val="002060"/>
          <w:sz w:val="24"/>
          <w:szCs w:val="24"/>
        </w:rPr>
      </w:pPr>
      <w:proofErr w:type="spellStart"/>
      <w:r w:rsidRPr="00633488">
        <w:rPr>
          <w:b/>
          <w:bCs/>
          <w:color w:val="002060"/>
          <w:sz w:val="24"/>
          <w:szCs w:val="24"/>
        </w:rPr>
        <w:t>Werkwijze</w:t>
      </w:r>
      <w:proofErr w:type="spellEnd"/>
    </w:p>
    <w:p w14:paraId="4BD8A9A6" w14:textId="77777777" w:rsidR="007706C9" w:rsidRPr="00633488" w:rsidRDefault="007706C9" w:rsidP="007706C9">
      <w:pPr>
        <w:pStyle w:val="NoSpacing"/>
        <w:numPr>
          <w:ilvl w:val="1"/>
          <w:numId w:val="2"/>
        </w:numPr>
        <w:rPr>
          <w:color w:val="002060"/>
          <w:sz w:val="24"/>
          <w:szCs w:val="24"/>
          <w:u w:val="single"/>
          <w:lang w:val="nl-NL"/>
        </w:rPr>
      </w:pPr>
      <w:r w:rsidRPr="00633488">
        <w:rPr>
          <w:color w:val="002060"/>
          <w:sz w:val="24"/>
          <w:szCs w:val="24"/>
          <w:u w:val="single"/>
          <w:lang w:val="nl-NL"/>
        </w:rPr>
        <w:t xml:space="preserve">Kuurschema/Dosering </w:t>
      </w:r>
    </w:p>
    <w:p w14:paraId="51F132B3" w14:textId="3909D2D1" w:rsidR="007706C9" w:rsidRDefault="007706C9" w:rsidP="007706C9">
      <w:pPr>
        <w:pStyle w:val="ListParagraph"/>
        <w:keepNext/>
        <w:ind w:left="1080"/>
        <w:rPr>
          <w:rFonts w:eastAsiaTheme="minorEastAsia"/>
          <w:lang w:val="nl-BE"/>
        </w:rPr>
      </w:pPr>
      <w:bookmarkStart w:id="0" w:name="_Hlk90835019"/>
      <w:r>
        <w:rPr>
          <w:rFonts w:eastAsiaTheme="minorEastAsia"/>
          <w:lang w:val="nl-BE"/>
        </w:rPr>
        <w:t>Hieronder staa</w:t>
      </w:r>
      <w:r w:rsidR="00C9373A">
        <w:rPr>
          <w:rFonts w:eastAsiaTheme="minorEastAsia"/>
          <w:lang w:val="nl-BE"/>
        </w:rPr>
        <w:t>t</w:t>
      </w:r>
      <w:r>
        <w:rPr>
          <w:rFonts w:eastAsiaTheme="minorEastAsia"/>
          <w:lang w:val="nl-BE"/>
        </w:rPr>
        <w:t xml:space="preserve"> een drietal schema’s</w:t>
      </w:r>
      <w:r w:rsidR="00C9373A">
        <w:rPr>
          <w:rFonts w:eastAsiaTheme="minorEastAsia"/>
          <w:lang w:val="nl-BE"/>
        </w:rPr>
        <w:t xml:space="preserve"> weergegeven</w:t>
      </w:r>
      <w:r>
        <w:rPr>
          <w:rFonts w:eastAsiaTheme="minorEastAsia"/>
          <w:lang w:val="nl-BE"/>
        </w:rPr>
        <w:t xml:space="preserve"> die inhoudelijk gelijk zijn maar de mogelijkheid geven om </w:t>
      </w:r>
      <w:r w:rsidR="00C9373A">
        <w:rPr>
          <w:rFonts w:eastAsiaTheme="minorEastAsia"/>
          <w:lang w:val="nl-BE"/>
        </w:rPr>
        <w:t>de weergave</w:t>
      </w:r>
      <w:r>
        <w:rPr>
          <w:rFonts w:eastAsiaTheme="minorEastAsia"/>
          <w:lang w:val="nl-BE"/>
        </w:rPr>
        <w:t xml:space="preserve"> van voorkeur op te nemen.</w:t>
      </w:r>
    </w:p>
    <w:bookmarkEnd w:id="0"/>
    <w:p w14:paraId="2D32DE5C" w14:textId="77777777" w:rsidR="007706C9" w:rsidRDefault="007706C9" w:rsidP="007706C9">
      <w:pPr>
        <w:pStyle w:val="ListParagraph"/>
        <w:keepNext/>
        <w:ind w:left="1080"/>
        <w:rPr>
          <w:rFonts w:eastAsiaTheme="minorEastAsia"/>
          <w:lang w:val="nl-BE"/>
        </w:rPr>
      </w:pPr>
    </w:p>
    <w:p w14:paraId="13894764" w14:textId="77777777" w:rsidR="007706C9" w:rsidRPr="001A5F77" w:rsidRDefault="007706C9" w:rsidP="007706C9">
      <w:pPr>
        <w:pStyle w:val="ListParagraph"/>
        <w:keepNext/>
        <w:ind w:left="1080"/>
        <w:rPr>
          <w:rFonts w:eastAsiaTheme="minorEastAsia"/>
          <w:i/>
          <w:iCs/>
          <w:lang w:val="nl-BE"/>
        </w:rPr>
      </w:pPr>
      <w:r w:rsidRPr="001A5F77">
        <w:rPr>
          <w:rFonts w:eastAsiaTheme="minorEastAsia"/>
          <w:i/>
          <w:iCs/>
          <w:lang w:val="nl-BE"/>
        </w:rPr>
        <w:t xml:space="preserve">Schema 1: </w:t>
      </w:r>
    </w:p>
    <w:p w14:paraId="1484843F" w14:textId="4DA6948F" w:rsidR="007706C9" w:rsidRDefault="007706C9" w:rsidP="007706C9">
      <w:pPr>
        <w:pStyle w:val="ListParagraph"/>
        <w:keepNext/>
        <w:ind w:left="1080"/>
        <w:rPr>
          <w:rFonts w:eastAsiaTheme="minorEastAsia"/>
          <w:lang w:val="nl-BE"/>
        </w:rPr>
      </w:pPr>
      <w:r w:rsidRPr="00FA4279">
        <w:rPr>
          <w:rFonts w:eastAsiaTheme="minorEastAsia"/>
          <w:lang w:val="nl-BE"/>
        </w:rPr>
        <w:t xml:space="preserve">Behandelschema voor </w:t>
      </w:r>
      <w:r>
        <w:rPr>
          <w:rFonts w:eastAsiaTheme="minorEastAsia"/>
          <w:lang w:val="nl-BE"/>
        </w:rPr>
        <w:t xml:space="preserve">daratumumab SC </w:t>
      </w:r>
      <w:r w:rsidRPr="00FA4279">
        <w:rPr>
          <w:rFonts w:eastAsiaTheme="minorEastAsia"/>
          <w:lang w:val="nl-BE"/>
        </w:rPr>
        <w:t xml:space="preserve">in combinatie met </w:t>
      </w:r>
      <w:proofErr w:type="spellStart"/>
      <w:r>
        <w:rPr>
          <w:rFonts w:eastAsiaTheme="minorEastAsia"/>
          <w:lang w:val="nl-BE"/>
        </w:rPr>
        <w:t>pomalidomide</w:t>
      </w:r>
      <w:proofErr w:type="spellEnd"/>
      <w:r w:rsidRPr="00FA4279">
        <w:rPr>
          <w:rFonts w:eastAsiaTheme="minorEastAsia"/>
          <w:lang w:val="nl-BE"/>
        </w:rPr>
        <w:t xml:space="preserve"> en dexamethason (</w:t>
      </w:r>
      <w:r>
        <w:rPr>
          <w:rFonts w:eastAsiaTheme="minorEastAsia"/>
          <w:lang w:val="nl-BE"/>
        </w:rPr>
        <w:t>P</w:t>
      </w:r>
      <w:r w:rsidRPr="00FA4279">
        <w:rPr>
          <w:rFonts w:eastAsiaTheme="minorEastAsia"/>
          <w:lang w:val="nl-BE"/>
        </w:rPr>
        <w:t>d) (behandelschema met cycli van 4 weken)</w:t>
      </w:r>
    </w:p>
    <w:p w14:paraId="3AD23237" w14:textId="77777777" w:rsidR="007706C9" w:rsidRDefault="007706C9" w:rsidP="007706C9">
      <w:pPr>
        <w:pStyle w:val="ListParagraph"/>
        <w:keepNext/>
        <w:ind w:left="1080"/>
        <w:rPr>
          <w:rFonts w:eastAsiaTheme="minorEastAsia"/>
          <w:lang w:val="nl-BE"/>
        </w:rPr>
      </w:pPr>
    </w:p>
    <w:tbl>
      <w:tblPr>
        <w:tblStyle w:val="TableGrid"/>
        <w:tblW w:w="0" w:type="auto"/>
        <w:tblInd w:w="1080" w:type="dxa"/>
        <w:tblLook w:val="04A0" w:firstRow="1" w:lastRow="0" w:firstColumn="1" w:lastColumn="0" w:noHBand="0" w:noVBand="1"/>
      </w:tblPr>
      <w:tblGrid>
        <w:gridCol w:w="3968"/>
        <w:gridCol w:w="3968"/>
      </w:tblGrid>
      <w:tr w:rsidR="007706C9" w14:paraId="01CF7360" w14:textId="77777777" w:rsidTr="006B46A1">
        <w:tc>
          <w:tcPr>
            <w:tcW w:w="3968" w:type="dxa"/>
          </w:tcPr>
          <w:p w14:paraId="2CDD2CD7" w14:textId="77777777" w:rsidR="007706C9" w:rsidRDefault="007706C9" w:rsidP="006B46A1">
            <w:pPr>
              <w:pStyle w:val="ListParagraph"/>
              <w:keepNext/>
              <w:ind w:left="0"/>
              <w:rPr>
                <w:rFonts w:eastAsiaTheme="minorEastAsia"/>
                <w:lang w:val="nl-BE"/>
              </w:rPr>
            </w:pPr>
            <w:r w:rsidRPr="5DF23855">
              <w:rPr>
                <w:rFonts w:eastAsiaTheme="minorEastAsia"/>
                <w:b/>
                <w:bCs/>
                <w:lang w:val="nl-BE"/>
              </w:rPr>
              <w:t>Weken</w:t>
            </w:r>
          </w:p>
        </w:tc>
        <w:tc>
          <w:tcPr>
            <w:tcW w:w="3968" w:type="dxa"/>
          </w:tcPr>
          <w:p w14:paraId="3C0E0B2C" w14:textId="77777777" w:rsidR="007706C9" w:rsidRDefault="007706C9" w:rsidP="006B46A1">
            <w:pPr>
              <w:pStyle w:val="ListParagraph"/>
              <w:keepNext/>
              <w:ind w:left="0"/>
              <w:rPr>
                <w:rFonts w:eastAsiaTheme="minorEastAsia"/>
                <w:lang w:val="nl-BE"/>
              </w:rPr>
            </w:pPr>
            <w:r w:rsidRPr="5DF23855">
              <w:rPr>
                <w:rFonts w:eastAsiaTheme="minorEastAsia"/>
                <w:b/>
                <w:bCs/>
                <w:lang w:val="nl-BE"/>
              </w:rPr>
              <w:t>Schema</w:t>
            </w:r>
          </w:p>
        </w:tc>
      </w:tr>
      <w:tr w:rsidR="007706C9" w14:paraId="416B059E" w14:textId="77777777" w:rsidTr="006B46A1">
        <w:tc>
          <w:tcPr>
            <w:tcW w:w="3968" w:type="dxa"/>
          </w:tcPr>
          <w:p w14:paraId="0E89DBEE" w14:textId="77777777" w:rsidR="007706C9" w:rsidRDefault="007706C9" w:rsidP="006B46A1">
            <w:pPr>
              <w:pStyle w:val="ListParagraph"/>
              <w:keepNext/>
              <w:ind w:left="0"/>
              <w:rPr>
                <w:rFonts w:eastAsiaTheme="minorEastAsia"/>
                <w:lang w:val="nl-BE"/>
              </w:rPr>
            </w:pPr>
            <w:r w:rsidRPr="5DF23855">
              <w:rPr>
                <w:rFonts w:eastAsiaTheme="minorEastAsia"/>
                <w:lang w:val="nl-BE"/>
              </w:rPr>
              <w:t>Week 1 tot 8</w:t>
            </w:r>
          </w:p>
        </w:tc>
        <w:tc>
          <w:tcPr>
            <w:tcW w:w="3968" w:type="dxa"/>
          </w:tcPr>
          <w:p w14:paraId="59C6F9D3" w14:textId="77777777" w:rsidR="007706C9" w:rsidRDefault="007706C9" w:rsidP="006B46A1">
            <w:pPr>
              <w:pStyle w:val="ListParagraph"/>
              <w:keepNext/>
              <w:ind w:left="0"/>
              <w:rPr>
                <w:rFonts w:eastAsiaTheme="minorEastAsia"/>
                <w:lang w:val="nl-BE"/>
              </w:rPr>
            </w:pPr>
            <w:proofErr w:type="gramStart"/>
            <w:r w:rsidRPr="5DF23855">
              <w:rPr>
                <w:rFonts w:eastAsiaTheme="minorEastAsia"/>
                <w:lang w:val="nl-BE"/>
              </w:rPr>
              <w:t>elke</w:t>
            </w:r>
            <w:proofErr w:type="gramEnd"/>
            <w:r w:rsidRPr="5DF23855">
              <w:rPr>
                <w:rFonts w:eastAsiaTheme="minorEastAsia"/>
                <w:lang w:val="nl-BE"/>
              </w:rPr>
              <w:t xml:space="preserve"> week (in totaal 8 doses)</w:t>
            </w:r>
          </w:p>
        </w:tc>
      </w:tr>
      <w:tr w:rsidR="007706C9" w14:paraId="73A53059" w14:textId="77777777" w:rsidTr="006B46A1">
        <w:tc>
          <w:tcPr>
            <w:tcW w:w="3968" w:type="dxa"/>
          </w:tcPr>
          <w:p w14:paraId="41C362CD" w14:textId="77777777" w:rsidR="007706C9" w:rsidRDefault="007706C9" w:rsidP="006B46A1">
            <w:pPr>
              <w:pStyle w:val="ListParagraph"/>
              <w:keepNext/>
              <w:ind w:left="0"/>
              <w:rPr>
                <w:rFonts w:eastAsiaTheme="minorEastAsia"/>
                <w:lang w:val="nl-BE"/>
              </w:rPr>
            </w:pPr>
            <w:r w:rsidRPr="5DF23855">
              <w:rPr>
                <w:rFonts w:eastAsiaTheme="minorEastAsia"/>
                <w:lang w:val="nl-BE"/>
              </w:rPr>
              <w:t>Week 9 tot 24</w:t>
            </w:r>
            <w:r w:rsidRPr="5DF23855">
              <w:rPr>
                <w:rFonts w:eastAsiaTheme="minorEastAsia"/>
                <w:vertAlign w:val="superscript"/>
                <w:lang w:val="nl-BE"/>
              </w:rPr>
              <w:t>a</w:t>
            </w:r>
          </w:p>
        </w:tc>
        <w:tc>
          <w:tcPr>
            <w:tcW w:w="3968" w:type="dxa"/>
          </w:tcPr>
          <w:p w14:paraId="7FB23B98" w14:textId="77777777" w:rsidR="007706C9" w:rsidRDefault="007706C9" w:rsidP="006B46A1">
            <w:pPr>
              <w:pStyle w:val="ListParagraph"/>
              <w:keepNext/>
              <w:ind w:left="0"/>
              <w:rPr>
                <w:rFonts w:eastAsiaTheme="minorEastAsia"/>
                <w:lang w:val="nl-BE"/>
              </w:rPr>
            </w:pPr>
            <w:proofErr w:type="gramStart"/>
            <w:r w:rsidRPr="5DF23855">
              <w:rPr>
                <w:rFonts w:eastAsiaTheme="minorEastAsia"/>
                <w:lang w:val="nl-BE"/>
              </w:rPr>
              <w:t>om</w:t>
            </w:r>
            <w:proofErr w:type="gramEnd"/>
            <w:r w:rsidRPr="5DF23855">
              <w:rPr>
                <w:rFonts w:eastAsiaTheme="minorEastAsia"/>
                <w:lang w:val="nl-BE"/>
              </w:rPr>
              <w:t xml:space="preserve"> de twee weken</w:t>
            </w:r>
            <w:r w:rsidRPr="5DF23855">
              <w:rPr>
                <w:rFonts w:eastAsiaTheme="minorEastAsia"/>
                <w:vertAlign w:val="superscript"/>
                <w:lang w:val="nl-BE"/>
              </w:rPr>
              <w:t xml:space="preserve"> </w:t>
            </w:r>
            <w:r w:rsidRPr="5DF23855">
              <w:rPr>
                <w:rFonts w:eastAsiaTheme="minorEastAsia"/>
                <w:lang w:val="nl-BE"/>
              </w:rPr>
              <w:t>(in totaal 8 doses)</w:t>
            </w:r>
          </w:p>
        </w:tc>
      </w:tr>
      <w:tr w:rsidR="007706C9" w14:paraId="6759FEEF" w14:textId="77777777" w:rsidTr="006B46A1">
        <w:tc>
          <w:tcPr>
            <w:tcW w:w="3968" w:type="dxa"/>
          </w:tcPr>
          <w:p w14:paraId="233CC989" w14:textId="77777777" w:rsidR="007706C9" w:rsidRDefault="007706C9" w:rsidP="006B46A1">
            <w:pPr>
              <w:pStyle w:val="ListParagraph"/>
              <w:keepNext/>
              <w:ind w:left="0"/>
              <w:rPr>
                <w:rFonts w:eastAsiaTheme="minorEastAsia"/>
                <w:lang w:val="nl-BE"/>
              </w:rPr>
            </w:pPr>
            <w:r w:rsidRPr="5DF23855">
              <w:rPr>
                <w:rFonts w:eastAsiaTheme="minorEastAsia"/>
                <w:lang w:val="nl-BE"/>
              </w:rPr>
              <w:t xml:space="preserve">Week 25 en verder tot </w:t>
            </w:r>
            <w:proofErr w:type="spellStart"/>
            <w:r w:rsidRPr="5DF23855">
              <w:rPr>
                <w:rFonts w:eastAsiaTheme="minorEastAsia"/>
                <w:lang w:val="nl-BE"/>
              </w:rPr>
              <w:t>ziekteprogressie</w:t>
            </w:r>
            <w:r w:rsidRPr="5DF23855">
              <w:rPr>
                <w:rFonts w:eastAsiaTheme="minorEastAsia"/>
                <w:vertAlign w:val="superscript"/>
                <w:lang w:val="nl-BE"/>
              </w:rPr>
              <w:t>b</w:t>
            </w:r>
            <w:proofErr w:type="spellEnd"/>
          </w:p>
        </w:tc>
        <w:tc>
          <w:tcPr>
            <w:tcW w:w="3968" w:type="dxa"/>
          </w:tcPr>
          <w:p w14:paraId="6E0C4257" w14:textId="77777777" w:rsidR="007706C9" w:rsidRDefault="007706C9" w:rsidP="006B46A1">
            <w:pPr>
              <w:pStyle w:val="ListParagraph"/>
              <w:keepNext/>
              <w:ind w:left="0"/>
              <w:rPr>
                <w:rFonts w:eastAsiaTheme="minorEastAsia"/>
                <w:lang w:val="nl-BE"/>
              </w:rPr>
            </w:pPr>
            <w:proofErr w:type="gramStart"/>
            <w:r w:rsidRPr="5DF23855">
              <w:rPr>
                <w:rFonts w:eastAsiaTheme="minorEastAsia"/>
                <w:lang w:val="nl-BE"/>
              </w:rPr>
              <w:t>om</w:t>
            </w:r>
            <w:proofErr w:type="gramEnd"/>
            <w:r w:rsidRPr="5DF23855">
              <w:rPr>
                <w:rFonts w:eastAsiaTheme="minorEastAsia"/>
                <w:lang w:val="nl-BE"/>
              </w:rPr>
              <w:t xml:space="preserve"> de vier weken</w:t>
            </w:r>
          </w:p>
        </w:tc>
      </w:tr>
    </w:tbl>
    <w:p w14:paraId="0296166E" w14:textId="77777777" w:rsidR="007706C9" w:rsidRPr="001A5F77" w:rsidRDefault="007706C9" w:rsidP="007706C9">
      <w:pPr>
        <w:pStyle w:val="NoSpacing"/>
        <w:ind w:left="708" w:firstLine="708"/>
        <w:rPr>
          <w:sz w:val="18"/>
          <w:szCs w:val="18"/>
          <w:lang w:val="nl-BE"/>
        </w:rPr>
      </w:pPr>
      <w:proofErr w:type="spellStart"/>
      <w:proofErr w:type="gramStart"/>
      <w:r w:rsidRPr="001A5F77">
        <w:rPr>
          <w:sz w:val="18"/>
          <w:szCs w:val="18"/>
          <w:vertAlign w:val="superscript"/>
          <w:lang w:val="nl-BE"/>
        </w:rPr>
        <w:t>a</w:t>
      </w:r>
      <w:r w:rsidRPr="001A5F77">
        <w:rPr>
          <w:sz w:val="18"/>
          <w:szCs w:val="18"/>
          <w:lang w:val="nl-BE"/>
        </w:rPr>
        <w:t>De</w:t>
      </w:r>
      <w:proofErr w:type="spellEnd"/>
      <w:proofErr w:type="gramEnd"/>
      <w:r w:rsidRPr="001A5F77">
        <w:rPr>
          <w:sz w:val="18"/>
          <w:szCs w:val="18"/>
          <w:lang w:val="nl-BE"/>
        </w:rPr>
        <w:t xml:space="preserve"> eerste dosis van het 2wekelijks behandelschema wordt toegediend in week 9</w:t>
      </w:r>
    </w:p>
    <w:p w14:paraId="52E73A40" w14:textId="77777777" w:rsidR="007706C9" w:rsidRPr="001A5F77" w:rsidRDefault="007706C9" w:rsidP="007706C9">
      <w:pPr>
        <w:pStyle w:val="NoSpacing"/>
        <w:ind w:left="708" w:firstLine="708"/>
        <w:rPr>
          <w:sz w:val="18"/>
          <w:szCs w:val="18"/>
          <w:lang w:val="nl-BE"/>
        </w:rPr>
      </w:pPr>
      <w:proofErr w:type="spellStart"/>
      <w:proofErr w:type="gramStart"/>
      <w:r w:rsidRPr="001A5F77">
        <w:rPr>
          <w:sz w:val="18"/>
          <w:szCs w:val="18"/>
          <w:vertAlign w:val="superscript"/>
          <w:lang w:val="nl-BE"/>
        </w:rPr>
        <w:t>b</w:t>
      </w:r>
      <w:r w:rsidRPr="001A5F77">
        <w:rPr>
          <w:sz w:val="18"/>
          <w:szCs w:val="18"/>
          <w:lang w:val="nl-BE"/>
        </w:rPr>
        <w:t>De</w:t>
      </w:r>
      <w:proofErr w:type="spellEnd"/>
      <w:proofErr w:type="gramEnd"/>
      <w:r w:rsidRPr="001A5F77">
        <w:rPr>
          <w:sz w:val="18"/>
          <w:szCs w:val="18"/>
          <w:lang w:val="nl-BE"/>
        </w:rPr>
        <w:t xml:space="preserve"> eerste dosis van het 4wekelijks behandelschema wordt toegediend in week 25</w:t>
      </w:r>
    </w:p>
    <w:p w14:paraId="0BB27D40" w14:textId="77777777" w:rsidR="007706C9" w:rsidRDefault="007706C9" w:rsidP="007706C9">
      <w:pPr>
        <w:ind w:left="1080"/>
        <w:rPr>
          <w:rFonts w:eastAsiaTheme="minorEastAsia"/>
          <w:lang w:val="nl-BE"/>
        </w:rPr>
      </w:pPr>
    </w:p>
    <w:p w14:paraId="2ED57F11" w14:textId="47636404" w:rsidR="00213166" w:rsidRDefault="00213166" w:rsidP="00213166">
      <w:pPr>
        <w:pStyle w:val="ListParagraph"/>
        <w:keepNext/>
        <w:ind w:left="1080"/>
        <w:rPr>
          <w:rFonts w:eastAsiaTheme="minorEastAsia"/>
          <w:lang w:val="nl-BE"/>
        </w:rPr>
      </w:pPr>
      <w:r w:rsidRPr="00454A11">
        <w:rPr>
          <w:rFonts w:eastAsiaTheme="minorEastAsia"/>
          <w:lang w:val="nl-BE"/>
        </w:rPr>
        <w:lastRenderedPageBreak/>
        <w:t>De aanbevolen dosis van de daratumumab SC injectie is 1800 mg, toegediend in ongeveer 3-5 minuten, volgens het behandelschema in de tabel.</w:t>
      </w:r>
    </w:p>
    <w:p w14:paraId="597BBC1E" w14:textId="3B2FAB90" w:rsidR="007706C9" w:rsidRDefault="007706C9" w:rsidP="007706C9">
      <w:pPr>
        <w:ind w:left="1080"/>
        <w:rPr>
          <w:rFonts w:eastAsiaTheme="minorEastAsia"/>
          <w:lang w:val="nl-BE"/>
        </w:rPr>
      </w:pPr>
      <w:r w:rsidRPr="5DF23855">
        <w:rPr>
          <w:rFonts w:eastAsiaTheme="minorEastAsia"/>
          <w:lang w:val="nl-BE"/>
        </w:rPr>
        <w:t>Dexamethason moet worden toegediend in een dosis van 40 mg/week (of een verlaagde dosis van 20 mg/week voor patiënten &gt;75 jaar).</w:t>
      </w:r>
    </w:p>
    <w:p w14:paraId="7AECA9C1" w14:textId="77777777" w:rsidR="007706C9" w:rsidRPr="001A5F77" w:rsidRDefault="007706C9" w:rsidP="007706C9">
      <w:pPr>
        <w:pStyle w:val="ListParagraph"/>
        <w:keepNext/>
        <w:ind w:left="1080"/>
        <w:rPr>
          <w:rFonts w:eastAsiaTheme="minorEastAsia"/>
          <w:i/>
          <w:iCs/>
          <w:lang w:val="nl-BE"/>
        </w:rPr>
      </w:pPr>
      <w:r w:rsidRPr="001A5F77">
        <w:rPr>
          <w:rFonts w:eastAsiaTheme="minorEastAsia"/>
          <w:i/>
          <w:iCs/>
          <w:lang w:val="nl-BE"/>
        </w:rPr>
        <w:t xml:space="preserve">Schema </w:t>
      </w:r>
      <w:r>
        <w:rPr>
          <w:rFonts w:eastAsiaTheme="minorEastAsia"/>
          <w:i/>
          <w:iCs/>
          <w:lang w:val="nl-BE"/>
        </w:rPr>
        <w:t>2</w:t>
      </w:r>
      <w:r w:rsidRPr="001A5F77">
        <w:rPr>
          <w:rFonts w:eastAsiaTheme="minorEastAsia"/>
          <w:i/>
          <w:iCs/>
          <w:lang w:val="nl-BE"/>
        </w:rPr>
        <w:t xml:space="preserve">: </w:t>
      </w:r>
      <w:r w:rsidRPr="00287236">
        <w:rPr>
          <w:rFonts w:eastAsiaTheme="minorEastAsia"/>
          <w:i/>
          <w:iCs/>
          <w:lang w:val="nl-BE"/>
        </w:rPr>
        <w:t>Grafische weergave</w:t>
      </w:r>
    </w:p>
    <w:p w14:paraId="64394FAA" w14:textId="77777777" w:rsidR="007706C9" w:rsidRDefault="007706C9" w:rsidP="007706C9">
      <w:pPr>
        <w:ind w:left="1080"/>
        <w:rPr>
          <w:rFonts w:eastAsiaTheme="minorEastAsia"/>
          <w:lang w:val="nl-BE"/>
        </w:rPr>
      </w:pPr>
      <w:r>
        <w:rPr>
          <w:noProof/>
        </w:rPr>
        <w:drawing>
          <wp:inline distT="0" distB="0" distL="0" distR="0" wp14:anchorId="553202AD" wp14:editId="7A9D78D1">
            <wp:extent cx="5731510" cy="405257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4052570"/>
                    </a:xfrm>
                    <a:prstGeom prst="rect">
                      <a:avLst/>
                    </a:prstGeom>
                    <a:noFill/>
                    <a:ln>
                      <a:noFill/>
                    </a:ln>
                  </pic:spPr>
                </pic:pic>
              </a:graphicData>
            </a:graphic>
          </wp:inline>
        </w:drawing>
      </w:r>
    </w:p>
    <w:p w14:paraId="05B22506" w14:textId="055347F2" w:rsidR="007706C9" w:rsidRPr="001A5F77" w:rsidRDefault="007706C9" w:rsidP="007706C9">
      <w:pPr>
        <w:pStyle w:val="ListParagraph"/>
        <w:keepNext/>
        <w:ind w:left="1080"/>
        <w:rPr>
          <w:rFonts w:eastAsiaTheme="minorEastAsia"/>
          <w:i/>
          <w:iCs/>
          <w:lang w:val="nl-BE"/>
        </w:rPr>
      </w:pPr>
      <w:r w:rsidRPr="001A5F77">
        <w:rPr>
          <w:rFonts w:eastAsiaTheme="minorEastAsia"/>
          <w:i/>
          <w:iCs/>
          <w:lang w:val="nl-BE"/>
        </w:rPr>
        <w:t xml:space="preserve">Schema </w:t>
      </w:r>
      <w:r>
        <w:rPr>
          <w:rFonts w:eastAsiaTheme="minorEastAsia"/>
          <w:i/>
          <w:iCs/>
          <w:lang w:val="nl-BE"/>
        </w:rPr>
        <w:t>3</w:t>
      </w:r>
      <w:r w:rsidR="007C5272" w:rsidRPr="007C5272">
        <w:rPr>
          <w:rFonts w:eastAsiaTheme="minorEastAsia"/>
          <w:i/>
          <w:iCs/>
          <w:vertAlign w:val="superscript"/>
          <w:lang w:val="nl-BE"/>
        </w:rPr>
        <w:t>6</w:t>
      </w:r>
      <w:r w:rsidRPr="001A5F77">
        <w:rPr>
          <w:rFonts w:eastAsiaTheme="minorEastAsia"/>
          <w:i/>
          <w:iCs/>
          <w:lang w:val="nl-BE"/>
        </w:rPr>
        <w:t xml:space="preserve">: </w:t>
      </w:r>
    </w:p>
    <w:tbl>
      <w:tblPr>
        <w:tblStyle w:val="TableGrid"/>
        <w:tblW w:w="0" w:type="auto"/>
        <w:tblInd w:w="1440" w:type="dxa"/>
        <w:tblLook w:val="04A0" w:firstRow="1" w:lastRow="0" w:firstColumn="1" w:lastColumn="0" w:noHBand="0" w:noVBand="1"/>
      </w:tblPr>
      <w:tblGrid>
        <w:gridCol w:w="1894"/>
        <w:gridCol w:w="1197"/>
        <w:gridCol w:w="851"/>
        <w:gridCol w:w="3634"/>
      </w:tblGrid>
      <w:tr w:rsidR="007706C9" w14:paraId="5EF116E9" w14:textId="77777777" w:rsidTr="006B46A1">
        <w:tc>
          <w:tcPr>
            <w:tcW w:w="7576" w:type="dxa"/>
            <w:gridSpan w:val="4"/>
          </w:tcPr>
          <w:p w14:paraId="1E42F8C0" w14:textId="299AEF6A" w:rsidR="007706C9" w:rsidRPr="00D8695D" w:rsidRDefault="007706C9" w:rsidP="006B46A1">
            <w:pPr>
              <w:pStyle w:val="NoSpacing"/>
              <w:rPr>
                <w:lang w:val="nl-NL"/>
              </w:rPr>
            </w:pPr>
            <w:proofErr w:type="spellStart"/>
            <w:r w:rsidRPr="00D8695D">
              <w:rPr>
                <w:lang w:val="nl-NL"/>
              </w:rPr>
              <w:t>Dara</w:t>
            </w:r>
            <w:proofErr w:type="spellEnd"/>
            <w:r w:rsidRPr="00D8695D">
              <w:rPr>
                <w:lang w:val="nl-NL"/>
              </w:rPr>
              <w:t>-P</w:t>
            </w:r>
            <w:r w:rsidR="000760BB" w:rsidRPr="00D8695D">
              <w:rPr>
                <w:lang w:val="nl-NL"/>
              </w:rPr>
              <w:t>d</w:t>
            </w:r>
            <w:r w:rsidRPr="00D8695D">
              <w:rPr>
                <w:lang w:val="nl-NL"/>
              </w:rPr>
              <w:t>; daratumumab-</w:t>
            </w:r>
            <w:proofErr w:type="spellStart"/>
            <w:r w:rsidRPr="00D8695D">
              <w:rPr>
                <w:lang w:val="nl-NL"/>
              </w:rPr>
              <w:t>pomalidomide</w:t>
            </w:r>
            <w:proofErr w:type="spellEnd"/>
            <w:r w:rsidRPr="00D8695D">
              <w:rPr>
                <w:lang w:val="nl-NL"/>
              </w:rPr>
              <w:t xml:space="preserve">-dexamethason </w:t>
            </w:r>
          </w:p>
          <w:p w14:paraId="0A4D9F9E" w14:textId="77777777" w:rsidR="007706C9" w:rsidRPr="000F64A8" w:rsidRDefault="007706C9" w:rsidP="006B46A1">
            <w:pPr>
              <w:pStyle w:val="NoSpacing"/>
              <w:rPr>
                <w:lang w:val="nl-NL"/>
              </w:rPr>
            </w:pPr>
            <w:r w:rsidRPr="000F64A8">
              <w:rPr>
                <w:lang w:val="nl-NL"/>
              </w:rPr>
              <w:t>(</w:t>
            </w:r>
            <w:proofErr w:type="gramStart"/>
            <w:r w:rsidRPr="000F64A8">
              <w:rPr>
                <w:lang w:val="nl-NL"/>
              </w:rPr>
              <w:t>frequentie</w:t>
            </w:r>
            <w:proofErr w:type="gramEnd"/>
            <w:r w:rsidRPr="000F64A8">
              <w:rPr>
                <w:lang w:val="nl-NL"/>
              </w:rPr>
              <w:t xml:space="preserve"> 1 x per 4 weken; tot ziekte progressie)</w:t>
            </w:r>
          </w:p>
        </w:tc>
      </w:tr>
      <w:tr w:rsidR="007706C9" w14:paraId="00BF36DF" w14:textId="77777777" w:rsidTr="006B46A1">
        <w:tc>
          <w:tcPr>
            <w:tcW w:w="1894" w:type="dxa"/>
            <w:vAlign w:val="center"/>
          </w:tcPr>
          <w:p w14:paraId="6208D06B" w14:textId="77777777" w:rsidR="007706C9" w:rsidRPr="000F64A8" w:rsidRDefault="007706C9" w:rsidP="006B46A1">
            <w:pPr>
              <w:pStyle w:val="NoSpacing"/>
              <w:rPr>
                <w:lang w:val="nl-NL"/>
              </w:rPr>
            </w:pPr>
            <w:r w:rsidRPr="000F64A8">
              <w:rPr>
                <w:lang w:val="nl-NL"/>
              </w:rPr>
              <w:t>Daratumumab SC</w:t>
            </w:r>
          </w:p>
        </w:tc>
        <w:tc>
          <w:tcPr>
            <w:tcW w:w="1197" w:type="dxa"/>
            <w:vAlign w:val="center"/>
          </w:tcPr>
          <w:p w14:paraId="073088AB" w14:textId="77777777" w:rsidR="007706C9" w:rsidRPr="000F64A8" w:rsidRDefault="007706C9" w:rsidP="006B46A1">
            <w:pPr>
              <w:pStyle w:val="NoSpacing"/>
              <w:rPr>
                <w:lang w:val="nl-NL"/>
              </w:rPr>
            </w:pPr>
            <w:r>
              <w:rPr>
                <w:lang w:val="nl-NL"/>
              </w:rPr>
              <w:t>1800 mg</w:t>
            </w:r>
          </w:p>
        </w:tc>
        <w:tc>
          <w:tcPr>
            <w:tcW w:w="851" w:type="dxa"/>
            <w:vAlign w:val="center"/>
          </w:tcPr>
          <w:p w14:paraId="6BF7BBE5" w14:textId="77777777" w:rsidR="007706C9" w:rsidRPr="000F64A8" w:rsidRDefault="007706C9" w:rsidP="006B46A1">
            <w:pPr>
              <w:pStyle w:val="NoSpacing"/>
              <w:rPr>
                <w:lang w:val="nl-NL"/>
              </w:rPr>
            </w:pPr>
            <w:r>
              <w:rPr>
                <w:lang w:val="nl-NL"/>
              </w:rPr>
              <w:t>SC</w:t>
            </w:r>
          </w:p>
        </w:tc>
        <w:tc>
          <w:tcPr>
            <w:tcW w:w="3634" w:type="dxa"/>
            <w:vAlign w:val="center"/>
          </w:tcPr>
          <w:p w14:paraId="19F02DBD" w14:textId="15A68C82" w:rsidR="007706C9" w:rsidRDefault="007706C9" w:rsidP="006B46A1">
            <w:pPr>
              <w:pStyle w:val="NoSpacing"/>
              <w:rPr>
                <w:lang w:val="nl-NL"/>
              </w:rPr>
            </w:pPr>
            <w:r w:rsidRPr="000F64A8">
              <w:rPr>
                <w:lang w:val="nl-NL"/>
              </w:rPr>
              <w:t>Cyclus 1 en 2; dag 1,</w:t>
            </w:r>
            <w:r w:rsidR="000760BB">
              <w:rPr>
                <w:lang w:val="nl-NL"/>
              </w:rPr>
              <w:t xml:space="preserve"> </w:t>
            </w:r>
            <w:r w:rsidRPr="000F64A8">
              <w:rPr>
                <w:lang w:val="nl-NL"/>
              </w:rPr>
              <w:t>8,</w:t>
            </w:r>
            <w:r w:rsidR="000760BB">
              <w:rPr>
                <w:lang w:val="nl-NL"/>
              </w:rPr>
              <w:t xml:space="preserve"> </w:t>
            </w:r>
            <w:r w:rsidRPr="000F64A8">
              <w:rPr>
                <w:lang w:val="nl-NL"/>
              </w:rPr>
              <w:t>15,</w:t>
            </w:r>
            <w:r w:rsidR="000760BB">
              <w:rPr>
                <w:lang w:val="nl-NL"/>
              </w:rPr>
              <w:t xml:space="preserve"> </w:t>
            </w:r>
            <w:r w:rsidRPr="000F64A8">
              <w:rPr>
                <w:lang w:val="nl-NL"/>
              </w:rPr>
              <w:t xml:space="preserve">22 </w:t>
            </w:r>
          </w:p>
          <w:p w14:paraId="2E1774B7" w14:textId="77777777" w:rsidR="007706C9" w:rsidRDefault="007706C9" w:rsidP="006B46A1">
            <w:pPr>
              <w:pStyle w:val="NoSpacing"/>
              <w:rPr>
                <w:lang w:val="nl-NL"/>
              </w:rPr>
            </w:pPr>
            <w:r w:rsidRPr="000F64A8">
              <w:rPr>
                <w:lang w:val="nl-NL"/>
              </w:rPr>
              <w:t xml:space="preserve">Cyclus 3 </w:t>
            </w:r>
            <w:proofErr w:type="spellStart"/>
            <w:r w:rsidRPr="000F64A8">
              <w:rPr>
                <w:lang w:val="nl-NL"/>
              </w:rPr>
              <w:t>tm</w:t>
            </w:r>
            <w:proofErr w:type="spellEnd"/>
            <w:r w:rsidRPr="000F64A8">
              <w:rPr>
                <w:lang w:val="nl-NL"/>
              </w:rPr>
              <w:t xml:space="preserve"> 6: dag 1, 15 </w:t>
            </w:r>
          </w:p>
          <w:p w14:paraId="54E56E24" w14:textId="77777777" w:rsidR="007706C9" w:rsidRPr="000F64A8" w:rsidRDefault="007706C9" w:rsidP="006B46A1">
            <w:pPr>
              <w:pStyle w:val="NoSpacing"/>
              <w:rPr>
                <w:lang w:val="nl-NL"/>
              </w:rPr>
            </w:pPr>
            <w:r w:rsidRPr="000F64A8">
              <w:rPr>
                <w:lang w:val="nl-NL"/>
              </w:rPr>
              <w:t xml:space="preserve">Cyclus 7 </w:t>
            </w:r>
            <w:proofErr w:type="spellStart"/>
            <w:r w:rsidRPr="000F64A8">
              <w:rPr>
                <w:lang w:val="nl-NL"/>
              </w:rPr>
              <w:t>ev</w:t>
            </w:r>
            <w:proofErr w:type="spellEnd"/>
            <w:r w:rsidRPr="000F64A8">
              <w:rPr>
                <w:lang w:val="nl-NL"/>
              </w:rPr>
              <w:t>: dag 1</w:t>
            </w:r>
          </w:p>
        </w:tc>
      </w:tr>
      <w:tr w:rsidR="007706C9" w14:paraId="5E6E9B67" w14:textId="77777777" w:rsidTr="006B46A1">
        <w:tc>
          <w:tcPr>
            <w:tcW w:w="1894" w:type="dxa"/>
            <w:vAlign w:val="center"/>
          </w:tcPr>
          <w:p w14:paraId="42A8A9AE" w14:textId="77777777" w:rsidR="007706C9" w:rsidRPr="000F64A8" w:rsidRDefault="007706C9" w:rsidP="006B46A1">
            <w:pPr>
              <w:pStyle w:val="NoSpacing"/>
              <w:rPr>
                <w:lang w:val="nl-NL"/>
              </w:rPr>
            </w:pPr>
            <w:proofErr w:type="spellStart"/>
            <w:r>
              <w:rPr>
                <w:lang w:val="nl-NL"/>
              </w:rPr>
              <w:t>Pomalidomide</w:t>
            </w:r>
            <w:proofErr w:type="spellEnd"/>
          </w:p>
        </w:tc>
        <w:tc>
          <w:tcPr>
            <w:tcW w:w="1197" w:type="dxa"/>
            <w:vAlign w:val="center"/>
          </w:tcPr>
          <w:p w14:paraId="5B82598B" w14:textId="77777777" w:rsidR="007706C9" w:rsidRPr="000F64A8" w:rsidRDefault="007706C9" w:rsidP="006B46A1">
            <w:pPr>
              <w:pStyle w:val="NoSpacing"/>
              <w:rPr>
                <w:lang w:val="nl-NL"/>
              </w:rPr>
            </w:pPr>
            <w:r>
              <w:rPr>
                <w:lang w:val="nl-NL"/>
              </w:rPr>
              <w:t>4 mg</w:t>
            </w:r>
          </w:p>
        </w:tc>
        <w:tc>
          <w:tcPr>
            <w:tcW w:w="851" w:type="dxa"/>
            <w:vAlign w:val="center"/>
          </w:tcPr>
          <w:p w14:paraId="32B20CED" w14:textId="77777777" w:rsidR="007706C9" w:rsidRPr="000F64A8" w:rsidRDefault="007706C9" w:rsidP="006B46A1">
            <w:pPr>
              <w:pStyle w:val="NoSpacing"/>
              <w:rPr>
                <w:lang w:val="nl-NL"/>
              </w:rPr>
            </w:pPr>
            <w:r>
              <w:rPr>
                <w:lang w:val="nl-NL"/>
              </w:rPr>
              <w:t>PO</w:t>
            </w:r>
          </w:p>
        </w:tc>
        <w:tc>
          <w:tcPr>
            <w:tcW w:w="3634" w:type="dxa"/>
            <w:vAlign w:val="center"/>
          </w:tcPr>
          <w:p w14:paraId="73A6BB5C" w14:textId="77777777" w:rsidR="007706C9" w:rsidRPr="00624A0D" w:rsidRDefault="007706C9" w:rsidP="006B46A1">
            <w:pPr>
              <w:pStyle w:val="NoSpacing"/>
            </w:pPr>
            <w:r w:rsidRPr="000F64A8">
              <w:t xml:space="preserve">Dag 1-21 </w:t>
            </w:r>
          </w:p>
        </w:tc>
      </w:tr>
      <w:tr w:rsidR="007706C9" w14:paraId="0C8E968B" w14:textId="77777777" w:rsidTr="006B46A1">
        <w:tc>
          <w:tcPr>
            <w:tcW w:w="1894" w:type="dxa"/>
            <w:vAlign w:val="center"/>
          </w:tcPr>
          <w:p w14:paraId="544C964F" w14:textId="77777777" w:rsidR="007706C9" w:rsidRPr="000F64A8" w:rsidRDefault="007706C9" w:rsidP="006B46A1">
            <w:pPr>
              <w:pStyle w:val="NoSpacing"/>
              <w:rPr>
                <w:lang w:val="nl-NL"/>
              </w:rPr>
            </w:pPr>
            <w:r>
              <w:rPr>
                <w:lang w:val="nl-NL"/>
              </w:rPr>
              <w:t xml:space="preserve">Dexamethason </w:t>
            </w:r>
          </w:p>
        </w:tc>
        <w:tc>
          <w:tcPr>
            <w:tcW w:w="1197" w:type="dxa"/>
            <w:vAlign w:val="center"/>
          </w:tcPr>
          <w:p w14:paraId="192F3103" w14:textId="77777777" w:rsidR="007706C9" w:rsidRPr="000F64A8" w:rsidRDefault="007706C9" w:rsidP="006B46A1">
            <w:pPr>
              <w:pStyle w:val="NoSpacing"/>
              <w:rPr>
                <w:lang w:val="nl-NL"/>
              </w:rPr>
            </w:pPr>
            <w:r>
              <w:rPr>
                <w:lang w:val="nl-NL"/>
              </w:rPr>
              <w:t>40 mg</w:t>
            </w:r>
          </w:p>
        </w:tc>
        <w:tc>
          <w:tcPr>
            <w:tcW w:w="851" w:type="dxa"/>
            <w:vAlign w:val="center"/>
          </w:tcPr>
          <w:p w14:paraId="42781189" w14:textId="77777777" w:rsidR="007706C9" w:rsidRPr="000F64A8" w:rsidRDefault="007706C9" w:rsidP="006B46A1">
            <w:pPr>
              <w:pStyle w:val="NoSpacing"/>
              <w:rPr>
                <w:lang w:val="nl-NL"/>
              </w:rPr>
            </w:pPr>
            <w:r>
              <w:rPr>
                <w:lang w:val="nl-NL"/>
              </w:rPr>
              <w:t>PO</w:t>
            </w:r>
          </w:p>
        </w:tc>
        <w:tc>
          <w:tcPr>
            <w:tcW w:w="3634" w:type="dxa"/>
            <w:vAlign w:val="center"/>
          </w:tcPr>
          <w:p w14:paraId="13459F9F" w14:textId="51778FFE" w:rsidR="007706C9" w:rsidRDefault="007706C9" w:rsidP="006B46A1">
            <w:pPr>
              <w:pStyle w:val="NoSpacing"/>
              <w:rPr>
                <w:lang w:val="nl-NL"/>
              </w:rPr>
            </w:pPr>
            <w:r w:rsidRPr="000F64A8">
              <w:rPr>
                <w:lang w:val="nl-NL"/>
              </w:rPr>
              <w:t>Dag 1,</w:t>
            </w:r>
            <w:r w:rsidR="000760BB">
              <w:rPr>
                <w:lang w:val="nl-NL"/>
              </w:rPr>
              <w:t xml:space="preserve"> </w:t>
            </w:r>
            <w:r w:rsidRPr="000F64A8">
              <w:rPr>
                <w:lang w:val="nl-NL"/>
              </w:rPr>
              <w:t>8,</w:t>
            </w:r>
            <w:r w:rsidR="000760BB">
              <w:rPr>
                <w:lang w:val="nl-NL"/>
              </w:rPr>
              <w:t xml:space="preserve"> </w:t>
            </w:r>
            <w:r w:rsidRPr="000F64A8">
              <w:rPr>
                <w:lang w:val="nl-NL"/>
              </w:rPr>
              <w:t>15,</w:t>
            </w:r>
            <w:r w:rsidR="000760BB">
              <w:rPr>
                <w:lang w:val="nl-NL"/>
              </w:rPr>
              <w:t xml:space="preserve"> </w:t>
            </w:r>
            <w:r w:rsidRPr="000F64A8">
              <w:rPr>
                <w:lang w:val="nl-NL"/>
              </w:rPr>
              <w:t xml:space="preserve">22 </w:t>
            </w:r>
          </w:p>
          <w:p w14:paraId="71094AFC" w14:textId="4CEADAD5" w:rsidR="007706C9" w:rsidRPr="000F64A8" w:rsidRDefault="007706C9" w:rsidP="006B46A1">
            <w:pPr>
              <w:pStyle w:val="NoSpacing"/>
              <w:rPr>
                <w:lang w:val="nl-NL"/>
              </w:rPr>
            </w:pPr>
            <w:r w:rsidRPr="000F64A8">
              <w:rPr>
                <w:lang w:val="nl-NL"/>
              </w:rPr>
              <w:t xml:space="preserve">*aanpassen dosering bij leeftijd &gt;75 </w:t>
            </w:r>
            <w:proofErr w:type="spellStart"/>
            <w:r w:rsidRPr="000F64A8">
              <w:rPr>
                <w:lang w:val="nl-NL"/>
              </w:rPr>
              <w:t>jr</w:t>
            </w:r>
            <w:proofErr w:type="spellEnd"/>
            <w:r w:rsidRPr="000F64A8">
              <w:rPr>
                <w:lang w:val="nl-NL"/>
              </w:rPr>
              <w:t xml:space="preserve"> </w:t>
            </w:r>
          </w:p>
        </w:tc>
      </w:tr>
    </w:tbl>
    <w:p w14:paraId="6A43AA0B" w14:textId="77777777" w:rsidR="00CC459F" w:rsidRPr="00CC459F" w:rsidRDefault="00CC459F" w:rsidP="00CC459F">
      <w:pPr>
        <w:pStyle w:val="NoSpacing"/>
        <w:ind w:left="1440"/>
        <w:rPr>
          <w:color w:val="002060"/>
          <w:sz w:val="24"/>
          <w:szCs w:val="24"/>
          <w:u w:val="single"/>
          <w:lang w:val="nl-NL"/>
        </w:rPr>
      </w:pPr>
    </w:p>
    <w:p w14:paraId="5AF7E781" w14:textId="77777777" w:rsidR="00756A2D" w:rsidRPr="000126A5" w:rsidRDefault="00756A2D">
      <w:pPr>
        <w:rPr>
          <w:color w:val="002060"/>
          <w:sz w:val="24"/>
          <w:szCs w:val="24"/>
          <w:u w:val="single"/>
        </w:rPr>
      </w:pPr>
      <w:r>
        <w:rPr>
          <w:color w:val="002060"/>
          <w:sz w:val="24"/>
          <w:szCs w:val="24"/>
          <w:u w:val="single"/>
        </w:rPr>
        <w:br w:type="page"/>
      </w:r>
    </w:p>
    <w:p w14:paraId="6A5DB10A" w14:textId="72199862" w:rsidR="00287236" w:rsidRPr="007F0A8E" w:rsidRDefault="00633488" w:rsidP="007F0A8E">
      <w:pPr>
        <w:pStyle w:val="NoSpacing"/>
        <w:numPr>
          <w:ilvl w:val="1"/>
          <w:numId w:val="2"/>
        </w:numPr>
        <w:rPr>
          <w:color w:val="002060"/>
          <w:sz w:val="24"/>
          <w:szCs w:val="24"/>
          <w:u w:val="single"/>
        </w:rPr>
      </w:pPr>
      <w:r w:rsidRPr="00287236">
        <w:rPr>
          <w:color w:val="002060"/>
          <w:sz w:val="24"/>
          <w:szCs w:val="24"/>
          <w:u w:val="single"/>
        </w:rPr>
        <w:lastRenderedPageBreak/>
        <w:t>Pre-</w:t>
      </w:r>
      <w:proofErr w:type="spellStart"/>
      <w:r w:rsidRPr="00287236">
        <w:rPr>
          <w:color w:val="002060"/>
          <w:sz w:val="24"/>
          <w:szCs w:val="24"/>
          <w:u w:val="single"/>
        </w:rPr>
        <w:t>medicatie</w:t>
      </w:r>
      <w:proofErr w:type="spellEnd"/>
    </w:p>
    <w:p w14:paraId="594EC1CE" w14:textId="385D3241" w:rsidR="00287236" w:rsidRPr="007F0A8E" w:rsidRDefault="00287236" w:rsidP="00287236">
      <w:pPr>
        <w:pStyle w:val="NoSpacing"/>
        <w:ind w:left="1440"/>
        <w:rPr>
          <w:i/>
          <w:iCs/>
          <w:lang w:val="nl-NL"/>
        </w:rPr>
      </w:pPr>
      <w:r w:rsidRPr="007F0A8E">
        <w:rPr>
          <w:i/>
          <w:iCs/>
          <w:lang w:val="nl-NL"/>
        </w:rPr>
        <w:t>Geneesmiddelen vóór de injectie:</w:t>
      </w:r>
    </w:p>
    <w:p w14:paraId="306C3C2D" w14:textId="06952AB7" w:rsidR="00287236" w:rsidRDefault="00287236" w:rsidP="00287236">
      <w:pPr>
        <w:pStyle w:val="NoSpacing"/>
        <w:ind w:left="1440"/>
        <w:rPr>
          <w:lang w:val="nl-NL"/>
        </w:rPr>
      </w:pPr>
      <w:r w:rsidRPr="003A6FDD">
        <w:rPr>
          <w:lang w:val="nl-NL"/>
        </w:rPr>
        <w:t xml:space="preserve">Voorafgaand aan de injectie moeten bij alle patiënten 1 tot 3 uur vóór elke </w:t>
      </w:r>
      <w:r>
        <w:rPr>
          <w:lang w:val="nl-NL"/>
        </w:rPr>
        <w:t>t</w:t>
      </w:r>
      <w:r w:rsidRPr="003A6FDD">
        <w:rPr>
          <w:lang w:val="nl-NL"/>
        </w:rPr>
        <w:t xml:space="preserve">oediening van </w:t>
      </w:r>
      <w:r>
        <w:rPr>
          <w:lang w:val="nl-NL"/>
        </w:rPr>
        <w:t>daratumumab SC</w:t>
      </w:r>
      <w:r w:rsidRPr="003A6FDD">
        <w:rPr>
          <w:lang w:val="nl-NL"/>
        </w:rPr>
        <w:t xml:space="preserve"> onderstaande geneesmiddelen (oraal of intraveneus) worden toegediend om het risico op </w:t>
      </w:r>
      <w:proofErr w:type="spellStart"/>
      <w:r>
        <w:rPr>
          <w:lang w:val="nl-NL"/>
        </w:rPr>
        <w:t>infusiegerelateerde</w:t>
      </w:r>
      <w:proofErr w:type="spellEnd"/>
      <w:r>
        <w:rPr>
          <w:lang w:val="nl-NL"/>
        </w:rPr>
        <w:t xml:space="preserve"> reacties (IRR’s)</w:t>
      </w:r>
      <w:r w:rsidRPr="003A6FDD">
        <w:rPr>
          <w:lang w:val="nl-NL"/>
        </w:rPr>
        <w:t xml:space="preserve"> te vermijden:</w:t>
      </w:r>
    </w:p>
    <w:p w14:paraId="434D61DD" w14:textId="77777777" w:rsidR="00287236" w:rsidRDefault="00287236" w:rsidP="00287236">
      <w:pPr>
        <w:pStyle w:val="NoSpacing"/>
        <w:ind w:left="1440"/>
        <w:rPr>
          <w:lang w:val="nl-NL"/>
        </w:rPr>
      </w:pPr>
      <w:r w:rsidRPr="003A6FDD">
        <w:rPr>
          <w:lang w:val="nl-NL"/>
        </w:rPr>
        <w:t xml:space="preserve"> </w:t>
      </w:r>
    </w:p>
    <w:p w14:paraId="0AB03B1F" w14:textId="3B52AA5F" w:rsidR="00287236" w:rsidRPr="007F0A8E" w:rsidRDefault="00287236" w:rsidP="00287236">
      <w:pPr>
        <w:pStyle w:val="NoSpacing"/>
        <w:ind w:left="1440"/>
        <w:rPr>
          <w:b/>
          <w:bCs/>
          <w:lang w:val="nl-NL"/>
        </w:rPr>
      </w:pPr>
      <w:r w:rsidRPr="007F0A8E">
        <w:rPr>
          <w:b/>
          <w:bCs/>
          <w:lang w:val="nl-NL"/>
        </w:rPr>
        <w:t xml:space="preserve">Corticosteroïd </w:t>
      </w:r>
      <w:r w:rsidRPr="007F0A8E">
        <w:rPr>
          <w:lang w:val="nl-NL"/>
        </w:rPr>
        <w:t xml:space="preserve">(langwerkend of </w:t>
      </w:r>
      <w:proofErr w:type="spellStart"/>
      <w:r w:rsidRPr="007F0A8E">
        <w:rPr>
          <w:lang w:val="nl-NL"/>
        </w:rPr>
        <w:t>middellangwerkend</w:t>
      </w:r>
      <w:proofErr w:type="spellEnd"/>
      <w:r w:rsidRPr="007F0A8E">
        <w:rPr>
          <w:lang w:val="nl-NL"/>
        </w:rPr>
        <w:t>)</w:t>
      </w:r>
      <w:r w:rsidRPr="007F0A8E">
        <w:rPr>
          <w:b/>
          <w:bCs/>
          <w:lang w:val="nl-NL"/>
        </w:rPr>
        <w:t xml:space="preserve"> </w:t>
      </w:r>
    </w:p>
    <w:p w14:paraId="3DE4FC05" w14:textId="77777777" w:rsidR="00287236" w:rsidRDefault="00287236" w:rsidP="00287236">
      <w:pPr>
        <w:pStyle w:val="NoSpacing"/>
        <w:ind w:left="1440"/>
        <w:rPr>
          <w:lang w:val="nl-NL"/>
        </w:rPr>
      </w:pPr>
      <w:r w:rsidRPr="003A6FDD">
        <w:rPr>
          <w:lang w:val="nl-NL"/>
        </w:rPr>
        <w:t xml:space="preserve">Dexamethason 20 mg (of een equivalent), toegediend voorafgaand aan elke infusie met </w:t>
      </w:r>
      <w:r>
        <w:rPr>
          <w:lang w:val="nl-NL"/>
        </w:rPr>
        <w:t>daratumumab SC</w:t>
      </w:r>
      <w:r w:rsidRPr="003A6FDD">
        <w:rPr>
          <w:lang w:val="nl-NL"/>
        </w:rPr>
        <w:t xml:space="preserve">. </w:t>
      </w:r>
    </w:p>
    <w:p w14:paraId="25D8D3F4" w14:textId="46AB3D97" w:rsidR="00287236" w:rsidRDefault="007F0A8E" w:rsidP="00287236">
      <w:pPr>
        <w:pStyle w:val="NoSpacing"/>
        <w:ind w:left="1440"/>
        <w:rPr>
          <w:lang w:val="nl-NL"/>
        </w:rPr>
      </w:pPr>
      <w:r>
        <w:rPr>
          <w:u w:val="single"/>
          <w:lang w:val="nl-NL"/>
        </w:rPr>
        <w:t>Aangezien</w:t>
      </w:r>
      <w:r w:rsidR="00287236" w:rsidRPr="003A6FDD">
        <w:rPr>
          <w:u w:val="single"/>
          <w:lang w:val="nl-NL"/>
        </w:rPr>
        <w:t xml:space="preserve"> dexamethason de basis van de achtergrondbehandeling is</w:t>
      </w:r>
      <w:r w:rsidR="00287236" w:rsidRPr="003A6FDD">
        <w:rPr>
          <w:lang w:val="nl-NL"/>
        </w:rPr>
        <w:t xml:space="preserve">, zal de behandelingsdosis dexamethason op de dagen van de toediening van </w:t>
      </w:r>
      <w:r>
        <w:rPr>
          <w:lang w:val="nl-NL"/>
        </w:rPr>
        <w:t>daratumumab SC</w:t>
      </w:r>
      <w:r w:rsidR="00287236" w:rsidRPr="003A6FDD">
        <w:rPr>
          <w:lang w:val="nl-NL"/>
        </w:rPr>
        <w:t xml:space="preserve"> in plaats hiervan dienen als pre-injectiegeneesmiddel. </w:t>
      </w:r>
    </w:p>
    <w:p w14:paraId="05D2DB59" w14:textId="77777777" w:rsidR="00287236" w:rsidRDefault="00287236" w:rsidP="007F0A8E">
      <w:pPr>
        <w:pStyle w:val="NoSpacing"/>
        <w:rPr>
          <w:lang w:val="nl-NL"/>
        </w:rPr>
      </w:pPr>
    </w:p>
    <w:p w14:paraId="05358C26" w14:textId="0DCA3B37" w:rsidR="00287236" w:rsidRPr="00057C7B" w:rsidRDefault="00287236" w:rsidP="00287236">
      <w:pPr>
        <w:pStyle w:val="NoSpacing"/>
        <w:ind w:left="1440"/>
        <w:rPr>
          <w:lang w:val="nl-NL"/>
        </w:rPr>
      </w:pPr>
      <w:r w:rsidRPr="007F0A8E">
        <w:rPr>
          <w:b/>
          <w:bCs/>
          <w:lang w:val="nl-NL"/>
        </w:rPr>
        <w:t xml:space="preserve">Antipyretica </w:t>
      </w:r>
      <w:r w:rsidRPr="00057C7B">
        <w:rPr>
          <w:lang w:val="nl-NL"/>
        </w:rPr>
        <w:t xml:space="preserve">(paracetamol 650 tot 1000 mg) </w:t>
      </w:r>
    </w:p>
    <w:p w14:paraId="724E44B9" w14:textId="77777777" w:rsidR="00287236" w:rsidRPr="00057C7B" w:rsidRDefault="00287236" w:rsidP="00287236">
      <w:pPr>
        <w:pStyle w:val="NoSpacing"/>
        <w:ind w:left="1440"/>
        <w:rPr>
          <w:lang w:val="nl-NL"/>
        </w:rPr>
      </w:pPr>
    </w:p>
    <w:p w14:paraId="3FAF72E1" w14:textId="357AE74C" w:rsidR="00287236" w:rsidRPr="00057C7B" w:rsidRDefault="00287236" w:rsidP="00287236">
      <w:pPr>
        <w:pStyle w:val="NoSpacing"/>
        <w:ind w:left="1440"/>
        <w:rPr>
          <w:lang w:val="nl-NL"/>
        </w:rPr>
      </w:pPr>
      <w:r w:rsidRPr="007F0A8E">
        <w:rPr>
          <w:b/>
          <w:bCs/>
          <w:lang w:val="nl-NL"/>
        </w:rPr>
        <w:t>Antihistaminicum</w:t>
      </w:r>
      <w:r w:rsidRPr="00057C7B">
        <w:rPr>
          <w:lang w:val="nl-NL"/>
        </w:rPr>
        <w:t xml:space="preserve"> (</w:t>
      </w:r>
      <w:proofErr w:type="spellStart"/>
      <w:r w:rsidRPr="00057C7B">
        <w:rPr>
          <w:lang w:val="nl-NL"/>
        </w:rPr>
        <w:t>difenhydramine</w:t>
      </w:r>
      <w:proofErr w:type="spellEnd"/>
      <w:r w:rsidRPr="00057C7B">
        <w:rPr>
          <w:lang w:val="nl-NL"/>
        </w:rPr>
        <w:t xml:space="preserve"> 25 tot 50 mg of equivalent, oraal of intraveneus toegediend).</w:t>
      </w:r>
    </w:p>
    <w:p w14:paraId="48D6FD60" w14:textId="77777777" w:rsidR="00287236" w:rsidRPr="00057C7B" w:rsidRDefault="00287236" w:rsidP="00287236">
      <w:pPr>
        <w:pStyle w:val="NoSpacing"/>
        <w:ind w:left="1440"/>
        <w:rPr>
          <w:lang w:val="nl-NL"/>
        </w:rPr>
      </w:pPr>
    </w:p>
    <w:p w14:paraId="7AC32B55" w14:textId="2800533C" w:rsidR="00287236" w:rsidRPr="000F3344" w:rsidRDefault="00756A2D" w:rsidP="007F0A8E">
      <w:pPr>
        <w:pStyle w:val="NoSpacing"/>
        <w:ind w:left="1416"/>
        <w:rPr>
          <w:lang w:val="nl-NL"/>
        </w:rPr>
      </w:pPr>
      <w:bookmarkStart w:id="1" w:name="_Hlk90835481"/>
      <w:r w:rsidRPr="00756A2D">
        <w:rPr>
          <w:lang w:val="nl-NL"/>
        </w:rPr>
        <w:t>Volgens HOVON richtlijn</w:t>
      </w:r>
      <w:r w:rsidRPr="00756A2D">
        <w:rPr>
          <w:vertAlign w:val="superscript"/>
          <w:lang w:val="nl-NL"/>
        </w:rPr>
        <w:t>5</w:t>
      </w:r>
      <w:r w:rsidRPr="00756A2D">
        <w:rPr>
          <w:lang w:val="nl-NL"/>
        </w:rPr>
        <w:t>:</w:t>
      </w:r>
      <w:r>
        <w:rPr>
          <w:b/>
          <w:bCs/>
          <w:lang w:val="nl-NL"/>
        </w:rPr>
        <w:t xml:space="preserve"> </w:t>
      </w:r>
      <w:r w:rsidR="007F0A8E" w:rsidRPr="007F0A8E">
        <w:rPr>
          <w:b/>
          <w:bCs/>
          <w:lang w:val="nl-NL"/>
        </w:rPr>
        <w:t>O</w:t>
      </w:r>
      <w:r w:rsidR="00287236" w:rsidRPr="007F0A8E">
        <w:rPr>
          <w:b/>
          <w:bCs/>
          <w:lang w:val="nl-NL"/>
        </w:rPr>
        <w:t xml:space="preserve">ptioneel: </w:t>
      </w:r>
      <w:proofErr w:type="spellStart"/>
      <w:r w:rsidR="00287236" w:rsidRPr="007F0A8E">
        <w:rPr>
          <w:b/>
          <w:bCs/>
          <w:lang w:val="nl-NL"/>
        </w:rPr>
        <w:t>montelukast</w:t>
      </w:r>
      <w:proofErr w:type="spellEnd"/>
      <w:r w:rsidR="00287236" w:rsidRPr="000F3344">
        <w:rPr>
          <w:lang w:val="nl-NL"/>
        </w:rPr>
        <w:t xml:space="preserve"> 10 mg </w:t>
      </w:r>
      <w:r w:rsidR="007F0A8E">
        <w:rPr>
          <w:lang w:val="nl-NL"/>
        </w:rPr>
        <w:t>oraal</w:t>
      </w:r>
      <w:r w:rsidR="00287236" w:rsidRPr="000F3344">
        <w:rPr>
          <w:lang w:val="nl-NL"/>
        </w:rPr>
        <w:t xml:space="preserve"> vooraf aan of na de eerste gift, eventueel te herhalen bij de tweede gift daratumumab </w:t>
      </w:r>
      <w:r w:rsidR="007F0A8E">
        <w:rPr>
          <w:lang w:val="nl-NL"/>
        </w:rPr>
        <w:t>SC</w:t>
      </w:r>
      <w:r>
        <w:rPr>
          <w:vertAlign w:val="superscript"/>
          <w:lang w:val="nl-NL"/>
        </w:rPr>
        <w:t>.</w:t>
      </w:r>
    </w:p>
    <w:bookmarkEnd w:id="1"/>
    <w:p w14:paraId="1B2F22AC" w14:textId="7A51D53B" w:rsidR="00633488" w:rsidRPr="00287236" w:rsidRDefault="00633488" w:rsidP="00633488">
      <w:pPr>
        <w:pStyle w:val="NoSpacing"/>
        <w:rPr>
          <w:sz w:val="24"/>
          <w:szCs w:val="24"/>
          <w:lang w:val="nl-NL"/>
        </w:rPr>
      </w:pPr>
    </w:p>
    <w:p w14:paraId="556B52AF" w14:textId="521F0BB2" w:rsidR="00633488" w:rsidRPr="00633488" w:rsidRDefault="00633488" w:rsidP="00633488">
      <w:pPr>
        <w:pStyle w:val="NoSpacing"/>
        <w:numPr>
          <w:ilvl w:val="1"/>
          <w:numId w:val="2"/>
        </w:numPr>
        <w:rPr>
          <w:color w:val="002060"/>
          <w:sz w:val="24"/>
          <w:szCs w:val="24"/>
          <w:u w:val="single"/>
        </w:rPr>
      </w:pPr>
      <w:r w:rsidRPr="00633488">
        <w:rPr>
          <w:color w:val="002060"/>
          <w:sz w:val="24"/>
          <w:szCs w:val="24"/>
          <w:u w:val="single"/>
        </w:rPr>
        <w:t>Post-</w:t>
      </w:r>
      <w:proofErr w:type="spellStart"/>
      <w:r w:rsidRPr="00633488">
        <w:rPr>
          <w:color w:val="002060"/>
          <w:sz w:val="24"/>
          <w:szCs w:val="24"/>
          <w:u w:val="single"/>
        </w:rPr>
        <w:t>medicatie</w:t>
      </w:r>
      <w:proofErr w:type="spellEnd"/>
    </w:p>
    <w:p w14:paraId="498413FB" w14:textId="78251003" w:rsidR="007F0A8E" w:rsidRPr="007F0A8E" w:rsidRDefault="007F0A8E" w:rsidP="007F0A8E">
      <w:pPr>
        <w:pStyle w:val="NoSpacing"/>
        <w:ind w:left="708" w:firstLine="708"/>
        <w:rPr>
          <w:i/>
          <w:iCs/>
          <w:lang w:val="nl-NL"/>
        </w:rPr>
      </w:pPr>
      <w:r w:rsidRPr="007F0A8E">
        <w:rPr>
          <w:i/>
          <w:iCs/>
          <w:lang w:val="nl-NL"/>
        </w:rPr>
        <w:t>Geneesmiddelen na de injectie</w:t>
      </w:r>
      <w:r>
        <w:rPr>
          <w:i/>
          <w:iCs/>
          <w:lang w:val="nl-NL"/>
        </w:rPr>
        <w:t>:</w:t>
      </w:r>
      <w:r w:rsidRPr="007F0A8E">
        <w:rPr>
          <w:i/>
          <w:iCs/>
          <w:lang w:val="nl-NL"/>
        </w:rPr>
        <w:t xml:space="preserve"> </w:t>
      </w:r>
    </w:p>
    <w:p w14:paraId="4880392F" w14:textId="710F3055" w:rsidR="00633488" w:rsidRDefault="007F0A8E" w:rsidP="007F0A8E">
      <w:pPr>
        <w:pStyle w:val="NoSpacing"/>
        <w:ind w:left="1416"/>
        <w:rPr>
          <w:lang w:val="nl-NL"/>
        </w:rPr>
      </w:pPr>
      <w:r w:rsidRPr="007F0A8E">
        <w:rPr>
          <w:lang w:val="nl-NL"/>
        </w:rPr>
        <w:t>Na de injectie dienen geneesmiddelen als volgt te worden toegediend om het risico op vertraagde IRR’s te verminderen:</w:t>
      </w:r>
    </w:p>
    <w:p w14:paraId="6EBE1CBF" w14:textId="0E61AC92" w:rsidR="007F0A8E" w:rsidRDefault="007F0A8E" w:rsidP="007F0A8E">
      <w:pPr>
        <w:pStyle w:val="NoSpacing"/>
        <w:ind w:left="1416"/>
        <w:rPr>
          <w:lang w:val="nl-NL"/>
        </w:rPr>
      </w:pPr>
    </w:p>
    <w:p w14:paraId="39468297" w14:textId="2FE23A65" w:rsidR="007F0A8E" w:rsidRDefault="007F0A8E" w:rsidP="007F0A8E">
      <w:pPr>
        <w:pStyle w:val="NoSpacing"/>
        <w:ind w:left="1416"/>
        <w:rPr>
          <w:lang w:val="nl-NL"/>
        </w:rPr>
      </w:pPr>
      <w:r w:rsidRPr="6503EA4F">
        <w:rPr>
          <w:lang w:val="nl-NL"/>
        </w:rPr>
        <w:t xml:space="preserve">Er kan worden overwogen om op de dag na de injectie met </w:t>
      </w:r>
      <w:r>
        <w:rPr>
          <w:lang w:val="nl-NL"/>
        </w:rPr>
        <w:t xml:space="preserve">daratumumab SC </w:t>
      </w:r>
      <w:r w:rsidRPr="6503EA4F">
        <w:rPr>
          <w:lang w:val="nl-NL"/>
        </w:rPr>
        <w:t xml:space="preserve">een lage dosis </w:t>
      </w:r>
      <w:proofErr w:type="spellStart"/>
      <w:r w:rsidRPr="6503EA4F">
        <w:rPr>
          <w:lang w:val="nl-NL"/>
        </w:rPr>
        <w:t>methylprednisolon</w:t>
      </w:r>
      <w:proofErr w:type="spellEnd"/>
      <w:r w:rsidRPr="6503EA4F">
        <w:rPr>
          <w:lang w:val="nl-NL"/>
        </w:rPr>
        <w:t xml:space="preserve"> (≤20 mg) of een equivalent oraal toe te dienen. Als er echter op de dag na de injectie met </w:t>
      </w:r>
      <w:r>
        <w:rPr>
          <w:lang w:val="nl-NL"/>
        </w:rPr>
        <w:t>daratumumab SC</w:t>
      </w:r>
      <w:r w:rsidRPr="6503EA4F">
        <w:rPr>
          <w:lang w:val="nl-NL"/>
        </w:rPr>
        <w:t xml:space="preserve"> een corticosteroïd (bijv. dexamethason, prednison) in het kader van een achtergrondbehandeling wordt toegediend, zijn extra geneesmiddelen na de injectie wellicht niet nodig. </w:t>
      </w:r>
    </w:p>
    <w:p w14:paraId="610CBD16" w14:textId="77777777" w:rsidR="007F0A8E" w:rsidRDefault="007F0A8E" w:rsidP="007F0A8E">
      <w:pPr>
        <w:pStyle w:val="NoSpacing"/>
        <w:ind w:left="720" w:firstLine="720"/>
        <w:rPr>
          <w:lang w:val="nl-NL"/>
        </w:rPr>
      </w:pPr>
    </w:p>
    <w:p w14:paraId="40BED3DA" w14:textId="14E6F61B" w:rsidR="007F0A8E" w:rsidRDefault="007F0A8E" w:rsidP="007F0A8E">
      <w:pPr>
        <w:pStyle w:val="NoSpacing"/>
        <w:ind w:left="1440"/>
        <w:rPr>
          <w:lang w:val="nl-NL"/>
        </w:rPr>
      </w:pPr>
      <w:r w:rsidRPr="6503EA4F">
        <w:rPr>
          <w:lang w:val="nl-NL"/>
        </w:rPr>
        <w:t xml:space="preserve">Als de patiënt na de eerste drie injecties geen belangrijke IRR’s ervaart, kunnen post-injectiecorticosteroïden (met uitzondering van corticosteroïden in het kader van een achtergrondbehandeling) worden stopgezet. </w:t>
      </w:r>
    </w:p>
    <w:p w14:paraId="73D22A62" w14:textId="77777777" w:rsidR="007F0A8E" w:rsidRDefault="007F0A8E" w:rsidP="007F0A8E">
      <w:pPr>
        <w:pStyle w:val="NoSpacing"/>
        <w:ind w:left="720" w:firstLine="720"/>
        <w:rPr>
          <w:lang w:val="nl-NL"/>
        </w:rPr>
      </w:pPr>
    </w:p>
    <w:p w14:paraId="60B0E9C9" w14:textId="77777777" w:rsidR="007F0A8E" w:rsidRDefault="007F0A8E" w:rsidP="007F0A8E">
      <w:pPr>
        <w:pStyle w:val="NoSpacing"/>
        <w:ind w:left="1440"/>
        <w:rPr>
          <w:lang w:val="nl-NL"/>
        </w:rPr>
      </w:pPr>
      <w:r w:rsidRPr="6503EA4F">
        <w:rPr>
          <w:lang w:val="nl-NL"/>
        </w:rPr>
        <w:t xml:space="preserve">Daarnaast moet voor patiënten met een voorgeschiedenis van chronische obstructieve longziekte worden overwogen om na de injectie geneesmiddelen te gebruiken zoals kort- en langwerkende </w:t>
      </w:r>
      <w:proofErr w:type="spellStart"/>
      <w:r w:rsidRPr="6503EA4F">
        <w:rPr>
          <w:lang w:val="nl-NL"/>
        </w:rPr>
        <w:t>bronchodilatoren</w:t>
      </w:r>
      <w:proofErr w:type="spellEnd"/>
      <w:r w:rsidRPr="6503EA4F">
        <w:rPr>
          <w:lang w:val="nl-NL"/>
        </w:rPr>
        <w:t xml:space="preserve"> en inhalatiecorticosteroïden. Na de eerste vier injecties kan de arts besluiten het gebruik van deze inhalatiemedicatie na de injecties te stoppen </w:t>
      </w:r>
      <w:proofErr w:type="gramStart"/>
      <w:r w:rsidRPr="6503EA4F">
        <w:rPr>
          <w:lang w:val="nl-NL"/>
        </w:rPr>
        <w:t>indien</w:t>
      </w:r>
      <w:proofErr w:type="gramEnd"/>
      <w:r w:rsidRPr="6503EA4F">
        <w:rPr>
          <w:lang w:val="nl-NL"/>
        </w:rPr>
        <w:t xml:space="preserve"> de patiënt geen ernstige IRR's krijgt. </w:t>
      </w:r>
    </w:p>
    <w:p w14:paraId="7E05AB58" w14:textId="77777777" w:rsidR="007F0A8E" w:rsidRDefault="007F0A8E" w:rsidP="007F0A8E">
      <w:pPr>
        <w:pStyle w:val="NoSpacing"/>
        <w:ind w:left="720" w:firstLine="720"/>
        <w:rPr>
          <w:lang w:val="nl-NL"/>
        </w:rPr>
      </w:pPr>
    </w:p>
    <w:p w14:paraId="1981B63E" w14:textId="77777777" w:rsidR="001F1605" w:rsidRPr="001F1605" w:rsidRDefault="007F0A8E" w:rsidP="007F0A8E">
      <w:pPr>
        <w:pStyle w:val="NoSpacing"/>
        <w:ind w:left="1416"/>
        <w:rPr>
          <w:i/>
          <w:iCs/>
          <w:lang w:val="nl-NL"/>
        </w:rPr>
      </w:pPr>
      <w:r w:rsidRPr="001F1605">
        <w:rPr>
          <w:i/>
          <w:iCs/>
          <w:lang w:val="nl-NL"/>
        </w:rPr>
        <w:t xml:space="preserve">Profylaxe voor </w:t>
      </w:r>
      <w:proofErr w:type="spellStart"/>
      <w:r w:rsidRPr="001F1605">
        <w:rPr>
          <w:i/>
          <w:iCs/>
          <w:lang w:val="nl-NL"/>
        </w:rPr>
        <w:t>reactivatie</w:t>
      </w:r>
      <w:proofErr w:type="spellEnd"/>
      <w:r w:rsidRPr="001F1605">
        <w:rPr>
          <w:i/>
          <w:iCs/>
          <w:lang w:val="nl-NL"/>
        </w:rPr>
        <w:t xml:space="preserve"> van herpes zoster-virus. </w:t>
      </w:r>
    </w:p>
    <w:p w14:paraId="3A8B3B51" w14:textId="25CF371A" w:rsidR="007F0A8E" w:rsidRPr="003A6FDD" w:rsidRDefault="007F0A8E" w:rsidP="007F0A8E">
      <w:pPr>
        <w:pStyle w:val="NoSpacing"/>
        <w:ind w:left="1416"/>
        <w:rPr>
          <w:lang w:val="nl-NL"/>
        </w:rPr>
      </w:pPr>
      <w:r>
        <w:rPr>
          <w:lang w:val="nl-NL"/>
        </w:rPr>
        <w:t>T</w:t>
      </w:r>
      <w:r w:rsidRPr="6503EA4F">
        <w:rPr>
          <w:lang w:val="nl-NL"/>
        </w:rPr>
        <w:t xml:space="preserve">er preventie van </w:t>
      </w:r>
      <w:proofErr w:type="spellStart"/>
      <w:r w:rsidRPr="6503EA4F">
        <w:rPr>
          <w:lang w:val="nl-NL"/>
        </w:rPr>
        <w:t>reactivatie</w:t>
      </w:r>
      <w:proofErr w:type="spellEnd"/>
      <w:r w:rsidRPr="6503EA4F">
        <w:rPr>
          <w:lang w:val="nl-NL"/>
        </w:rPr>
        <w:t xml:space="preserve"> van het herpes zoster-virus dient antivirale profylaxe overwogen te worden</w:t>
      </w:r>
    </w:p>
    <w:p w14:paraId="54262724" w14:textId="77777777" w:rsidR="007F0A8E" w:rsidRPr="007F0A8E" w:rsidRDefault="007F0A8E" w:rsidP="007F0A8E">
      <w:pPr>
        <w:pStyle w:val="NoSpacing"/>
        <w:ind w:left="1416"/>
        <w:rPr>
          <w:sz w:val="24"/>
          <w:szCs w:val="24"/>
          <w:lang w:val="nl-NL"/>
        </w:rPr>
      </w:pPr>
    </w:p>
    <w:p w14:paraId="0837DBEE" w14:textId="77777777" w:rsidR="00756A2D" w:rsidRDefault="00756A2D">
      <w:pPr>
        <w:rPr>
          <w:b/>
          <w:bCs/>
          <w:color w:val="002060"/>
          <w:sz w:val="24"/>
          <w:szCs w:val="24"/>
        </w:rPr>
      </w:pPr>
      <w:r>
        <w:rPr>
          <w:b/>
          <w:bCs/>
          <w:color w:val="002060"/>
          <w:sz w:val="24"/>
          <w:szCs w:val="24"/>
        </w:rPr>
        <w:br w:type="page"/>
      </w:r>
    </w:p>
    <w:p w14:paraId="114FE79B" w14:textId="73791C19" w:rsidR="00633488" w:rsidRPr="00633488" w:rsidRDefault="00633488" w:rsidP="00633488">
      <w:pPr>
        <w:pStyle w:val="NoSpacing"/>
        <w:numPr>
          <w:ilvl w:val="0"/>
          <w:numId w:val="2"/>
        </w:numPr>
        <w:rPr>
          <w:b/>
          <w:bCs/>
          <w:color w:val="002060"/>
          <w:sz w:val="24"/>
          <w:szCs w:val="24"/>
          <w:lang w:val="nl-NL"/>
        </w:rPr>
      </w:pPr>
      <w:r w:rsidRPr="00633488">
        <w:rPr>
          <w:b/>
          <w:bCs/>
          <w:color w:val="002060"/>
          <w:sz w:val="24"/>
          <w:szCs w:val="24"/>
          <w:lang w:val="nl-NL"/>
        </w:rPr>
        <w:lastRenderedPageBreak/>
        <w:t xml:space="preserve">Toedieningswijze </w:t>
      </w:r>
    </w:p>
    <w:p w14:paraId="04ACE48B" w14:textId="77C85F91" w:rsidR="00633488" w:rsidRDefault="00633488" w:rsidP="00633488">
      <w:pPr>
        <w:pStyle w:val="NoSpacing"/>
        <w:rPr>
          <w:sz w:val="24"/>
          <w:szCs w:val="24"/>
          <w:lang w:val="nl-NL"/>
        </w:rPr>
      </w:pPr>
    </w:p>
    <w:p w14:paraId="38A38826" w14:textId="7FF7CF22" w:rsidR="007F0A8E" w:rsidRDefault="007F0A8E" w:rsidP="007F0A8E">
      <w:pPr>
        <w:pStyle w:val="NoSpacing"/>
        <w:ind w:left="720"/>
        <w:rPr>
          <w:rStyle w:val="normaltextrun"/>
          <w:rFonts w:ascii="Calibri" w:hAnsi="Calibri" w:cs="Calibri"/>
          <w:lang w:val="nl-NL"/>
        </w:rPr>
      </w:pPr>
      <w:r>
        <w:rPr>
          <w:rStyle w:val="normaltextrun"/>
          <w:rFonts w:ascii="Calibri" w:hAnsi="Calibri" w:cs="Calibri"/>
          <w:lang w:val="nl-NL"/>
        </w:rPr>
        <w:t>Daratumumab SC</w:t>
      </w:r>
      <w:r w:rsidRPr="00F26D9E">
        <w:rPr>
          <w:rStyle w:val="normaltextrun"/>
          <w:rFonts w:ascii="Calibri" w:hAnsi="Calibri" w:cs="Calibri"/>
          <w:lang w:val="nl-NL"/>
        </w:rPr>
        <w:t xml:space="preserve"> is niet bedoeld voor intraveneuze toediening en dient uitsluitend te worden toegediend via een subcutane injectie, in de gespecificeerde doses. </w:t>
      </w:r>
    </w:p>
    <w:p w14:paraId="74AADC1D" w14:textId="77777777" w:rsidR="007F0A8E" w:rsidRDefault="007F0A8E" w:rsidP="007F0A8E">
      <w:pPr>
        <w:pStyle w:val="NoSpacing"/>
        <w:ind w:left="720"/>
        <w:rPr>
          <w:rStyle w:val="normaltextrun"/>
          <w:rFonts w:ascii="Calibri" w:hAnsi="Calibri" w:cs="Calibri"/>
          <w:lang w:val="nl-NL"/>
        </w:rPr>
      </w:pPr>
    </w:p>
    <w:p w14:paraId="59CB3B38" w14:textId="77777777" w:rsidR="007F0A8E" w:rsidRDefault="007F0A8E" w:rsidP="007F0A8E">
      <w:pPr>
        <w:pStyle w:val="NoSpacing"/>
        <w:ind w:left="720"/>
        <w:rPr>
          <w:lang w:val="nl-NL"/>
        </w:rPr>
      </w:pPr>
      <w:r w:rsidRPr="00E15D7F">
        <w:rPr>
          <w:lang w:val="nl-NL"/>
        </w:rPr>
        <w:t xml:space="preserve">Plaats de </w:t>
      </w:r>
      <w:proofErr w:type="spellStart"/>
      <w:r w:rsidRPr="00E15D7F">
        <w:rPr>
          <w:lang w:val="nl-NL"/>
        </w:rPr>
        <w:t>hypodermische</w:t>
      </w:r>
      <w:proofErr w:type="spellEnd"/>
      <w:r w:rsidRPr="00E15D7F">
        <w:rPr>
          <w:lang w:val="nl-NL"/>
        </w:rPr>
        <w:t xml:space="preserve"> injectienaald of de subcutane </w:t>
      </w:r>
      <w:proofErr w:type="spellStart"/>
      <w:r w:rsidRPr="00E15D7F">
        <w:rPr>
          <w:lang w:val="nl-NL"/>
        </w:rPr>
        <w:t>infusieset</w:t>
      </w:r>
      <w:proofErr w:type="spellEnd"/>
      <w:r w:rsidRPr="00E15D7F">
        <w:rPr>
          <w:lang w:val="nl-NL"/>
        </w:rPr>
        <w:t xml:space="preserve"> vlak voor toediening op de spuit om verstopping van de naald te voorkomen</w:t>
      </w:r>
      <w:r w:rsidRPr="002152B8">
        <w:rPr>
          <w:lang w:val="nl-NL"/>
        </w:rPr>
        <w:t xml:space="preserve">. </w:t>
      </w:r>
    </w:p>
    <w:p w14:paraId="64ABC8C1" w14:textId="77777777" w:rsidR="007F0A8E" w:rsidRDefault="007F0A8E" w:rsidP="007F0A8E">
      <w:pPr>
        <w:pStyle w:val="NoSpacing"/>
        <w:ind w:left="720"/>
        <w:rPr>
          <w:lang w:val="nl-NL"/>
        </w:rPr>
      </w:pPr>
    </w:p>
    <w:p w14:paraId="2D418628" w14:textId="2F218558" w:rsidR="007F0A8E" w:rsidRPr="002152B8" w:rsidRDefault="007F0A8E" w:rsidP="007F0A8E">
      <w:pPr>
        <w:pStyle w:val="NoSpacing"/>
        <w:ind w:left="720"/>
        <w:rPr>
          <w:lang w:val="nl-NL"/>
        </w:rPr>
      </w:pPr>
      <w:r w:rsidRPr="002152B8">
        <w:rPr>
          <w:lang w:val="nl-NL"/>
        </w:rPr>
        <w:t xml:space="preserve">Injecteer 15 ml </w:t>
      </w:r>
      <w:r>
        <w:rPr>
          <w:lang w:val="nl-NL"/>
        </w:rPr>
        <w:t>daratumumab SC</w:t>
      </w:r>
      <w:r w:rsidRPr="002152B8">
        <w:rPr>
          <w:lang w:val="nl-NL"/>
        </w:rPr>
        <w:t xml:space="preserve"> in ongeveer 3-5 minuten in het subcutane weefsel van het abdomen, ongeveer 7,5 cm rechts of links van de navel. </w:t>
      </w:r>
    </w:p>
    <w:p w14:paraId="45C4718A" w14:textId="77777777" w:rsidR="007F0A8E" w:rsidRPr="00E15D7F" w:rsidRDefault="007F0A8E" w:rsidP="007F0A8E">
      <w:pPr>
        <w:pStyle w:val="NoSpacing"/>
        <w:ind w:left="720"/>
        <w:rPr>
          <w:lang w:val="nl-NL"/>
        </w:rPr>
      </w:pPr>
    </w:p>
    <w:p w14:paraId="1C44A023" w14:textId="56C02861" w:rsidR="007F0A8E" w:rsidRDefault="007F0A8E" w:rsidP="007F0A8E">
      <w:pPr>
        <w:pStyle w:val="NoSpacing"/>
        <w:ind w:left="720"/>
        <w:rPr>
          <w:lang w:val="nl-NL"/>
        </w:rPr>
      </w:pPr>
      <w:r w:rsidRPr="5DF23855">
        <w:rPr>
          <w:lang w:val="nl-NL"/>
        </w:rPr>
        <w:t xml:space="preserve">Injecteer </w:t>
      </w:r>
      <w:r>
        <w:rPr>
          <w:lang w:val="nl-NL"/>
        </w:rPr>
        <w:t>daratumumab SC</w:t>
      </w:r>
      <w:r w:rsidRPr="5DF23855">
        <w:rPr>
          <w:lang w:val="nl-NL"/>
        </w:rPr>
        <w:t xml:space="preserve"> niet op andere plaatsen van het lichaam, aangezien daarover geen gegevens beschikbaar zijn. </w:t>
      </w:r>
    </w:p>
    <w:p w14:paraId="0FC032DD" w14:textId="77777777" w:rsidR="007F0A8E" w:rsidRDefault="007F0A8E" w:rsidP="007F0A8E">
      <w:pPr>
        <w:pStyle w:val="NoSpacing"/>
        <w:ind w:left="720"/>
        <w:rPr>
          <w:lang w:val="nl-NL"/>
        </w:rPr>
      </w:pPr>
    </w:p>
    <w:p w14:paraId="5B6BFB16" w14:textId="77777777" w:rsidR="007F0A8E" w:rsidRDefault="007F0A8E" w:rsidP="007F0A8E">
      <w:pPr>
        <w:pStyle w:val="NoSpacing"/>
        <w:ind w:left="720"/>
        <w:rPr>
          <w:lang w:val="nl-NL"/>
        </w:rPr>
      </w:pPr>
      <w:r w:rsidRPr="5DF23855">
        <w:rPr>
          <w:lang w:val="nl-NL"/>
        </w:rPr>
        <w:t xml:space="preserve">Bij opeenvolgende injecties dient de injectieplaats afgewisseld te worden. </w:t>
      </w:r>
    </w:p>
    <w:p w14:paraId="588C5AAD" w14:textId="77777777" w:rsidR="007F0A8E" w:rsidRDefault="007F0A8E" w:rsidP="007F0A8E">
      <w:pPr>
        <w:pStyle w:val="NoSpacing"/>
        <w:ind w:left="720"/>
        <w:rPr>
          <w:lang w:val="nl-NL"/>
        </w:rPr>
      </w:pPr>
    </w:p>
    <w:p w14:paraId="1B7F76F7" w14:textId="2420F359" w:rsidR="007F0A8E" w:rsidRDefault="007F0A8E" w:rsidP="007F0A8E">
      <w:pPr>
        <w:pStyle w:val="NoSpacing"/>
        <w:ind w:left="720"/>
        <w:rPr>
          <w:lang w:val="nl-NL"/>
        </w:rPr>
      </w:pPr>
      <w:r>
        <w:rPr>
          <w:lang w:val="nl-NL"/>
        </w:rPr>
        <w:t>Daratumumab SC</w:t>
      </w:r>
      <w:r w:rsidRPr="5DF23855">
        <w:rPr>
          <w:lang w:val="nl-NL"/>
        </w:rPr>
        <w:t xml:space="preserve"> mag nooit worden geïnjecteerd in gebieden waar de huid rood, gekneusd, gevoelig of hard is of in gebieden met een litteken. </w:t>
      </w:r>
    </w:p>
    <w:p w14:paraId="0403AC96" w14:textId="77777777" w:rsidR="007F0A8E" w:rsidRPr="00617C6A" w:rsidRDefault="007F0A8E" w:rsidP="007F0A8E">
      <w:pPr>
        <w:pStyle w:val="NoSpacing"/>
        <w:ind w:left="720"/>
        <w:rPr>
          <w:lang w:val="nl-NL"/>
        </w:rPr>
      </w:pPr>
    </w:p>
    <w:p w14:paraId="1C00BB94" w14:textId="77777777" w:rsidR="007F0A8E" w:rsidRDefault="007F0A8E" w:rsidP="007F0A8E">
      <w:pPr>
        <w:pStyle w:val="NoSpacing"/>
        <w:ind w:left="720"/>
        <w:rPr>
          <w:lang w:val="nl-NL"/>
        </w:rPr>
      </w:pPr>
      <w:r w:rsidRPr="5DF23855">
        <w:rPr>
          <w:lang w:val="nl-NL"/>
        </w:rPr>
        <w:t xml:space="preserve">Onderbreek of vertraag de afgifte als de patiënt pijn ervaart. In het geval dat de pijn niet wordt verlicht door de injectie te vertragen, kan voor afgifte van de resterende dosis een tweede injectieplaats worden gekozen aan de andere kant van het abdomen. </w:t>
      </w:r>
    </w:p>
    <w:p w14:paraId="6328E25F" w14:textId="77777777" w:rsidR="007F0A8E" w:rsidRDefault="007F0A8E" w:rsidP="007F0A8E">
      <w:pPr>
        <w:pStyle w:val="NoSpacing"/>
        <w:ind w:left="720"/>
        <w:rPr>
          <w:lang w:val="nl-NL"/>
        </w:rPr>
      </w:pPr>
    </w:p>
    <w:p w14:paraId="32814CE6" w14:textId="39ACC549" w:rsidR="007F0A8E" w:rsidRPr="00E15D7F" w:rsidRDefault="007F0A8E" w:rsidP="007F0A8E">
      <w:pPr>
        <w:pStyle w:val="NoSpacing"/>
        <w:ind w:left="720"/>
        <w:rPr>
          <w:lang w:val="nl-NL"/>
        </w:rPr>
      </w:pPr>
      <w:r w:rsidRPr="5DF23855">
        <w:rPr>
          <w:lang w:val="nl-NL"/>
        </w:rPr>
        <w:t xml:space="preserve">Dien tijdens behandeling met </w:t>
      </w:r>
      <w:r>
        <w:rPr>
          <w:lang w:val="nl-NL"/>
        </w:rPr>
        <w:t>daratumumab SC</w:t>
      </w:r>
      <w:r w:rsidRPr="5DF23855">
        <w:rPr>
          <w:lang w:val="nl-NL"/>
        </w:rPr>
        <w:t xml:space="preserve"> geen andere geneesmiddelen voor subcutaan gebruik toe op dezelfde plaats als </w:t>
      </w:r>
      <w:r>
        <w:rPr>
          <w:lang w:val="nl-NL"/>
        </w:rPr>
        <w:t>daratumumab SC</w:t>
      </w:r>
      <w:r w:rsidRPr="5DF23855">
        <w:rPr>
          <w:lang w:val="nl-NL"/>
        </w:rPr>
        <w:t>.</w:t>
      </w:r>
    </w:p>
    <w:p w14:paraId="256FED19" w14:textId="77777777" w:rsidR="007F0A8E" w:rsidRDefault="007F0A8E" w:rsidP="007F0A8E">
      <w:pPr>
        <w:pStyle w:val="NoSpacing"/>
        <w:ind w:left="720"/>
        <w:rPr>
          <w:lang w:val="nl-NL"/>
        </w:rPr>
      </w:pPr>
    </w:p>
    <w:p w14:paraId="51E78DE1" w14:textId="288D3654" w:rsidR="007F0A8E" w:rsidRDefault="007F0A8E" w:rsidP="007F0A8E">
      <w:pPr>
        <w:pStyle w:val="paragraph"/>
        <w:spacing w:before="0" w:beforeAutospacing="0" w:after="0" w:afterAutospacing="0"/>
        <w:ind w:firstLine="720"/>
        <w:textAlignment w:val="baseline"/>
        <w:rPr>
          <w:rStyle w:val="normaltextrun"/>
          <w:rFonts w:ascii="Calibri" w:hAnsi="Calibri" w:cs="Calibri"/>
          <w:sz w:val="22"/>
          <w:szCs w:val="22"/>
        </w:rPr>
      </w:pPr>
      <w:r>
        <w:rPr>
          <w:rStyle w:val="normaltextrun"/>
          <w:rFonts w:ascii="Calibri" w:hAnsi="Calibri" w:cs="Calibri"/>
          <w:sz w:val="22"/>
          <w:szCs w:val="22"/>
        </w:rPr>
        <w:t>Voor toedieningswijze andere geneesmiddelen zie de respectievelijke SmPCs</w:t>
      </w:r>
      <w:r w:rsidRPr="007F0A8E">
        <w:rPr>
          <w:rStyle w:val="normaltextrun"/>
          <w:rFonts w:ascii="Calibri" w:hAnsi="Calibri" w:cs="Calibri"/>
          <w:sz w:val="22"/>
          <w:szCs w:val="22"/>
          <w:vertAlign w:val="superscript"/>
        </w:rPr>
        <w:t>2,3</w:t>
      </w:r>
      <w:r>
        <w:rPr>
          <w:rStyle w:val="normaltextrun"/>
          <w:rFonts w:ascii="Calibri" w:hAnsi="Calibri" w:cs="Calibri"/>
          <w:sz w:val="22"/>
          <w:szCs w:val="22"/>
        </w:rPr>
        <w:t>.</w:t>
      </w:r>
    </w:p>
    <w:p w14:paraId="5D072AEB" w14:textId="77067347" w:rsidR="00633488" w:rsidRDefault="00633488" w:rsidP="00633488">
      <w:pPr>
        <w:pStyle w:val="NoSpacing"/>
        <w:rPr>
          <w:sz w:val="24"/>
          <w:szCs w:val="24"/>
          <w:lang w:val="nl-NL"/>
        </w:rPr>
      </w:pPr>
    </w:p>
    <w:p w14:paraId="4D8158F0" w14:textId="77777777" w:rsidR="00633488" w:rsidRPr="00633488" w:rsidRDefault="00633488" w:rsidP="00633488">
      <w:pPr>
        <w:pStyle w:val="NoSpacing"/>
        <w:rPr>
          <w:sz w:val="24"/>
          <w:szCs w:val="24"/>
          <w:lang w:val="nl-NL"/>
        </w:rPr>
      </w:pPr>
    </w:p>
    <w:p w14:paraId="4174EB97" w14:textId="763DC99F" w:rsidR="00633488" w:rsidRPr="00633488" w:rsidRDefault="00633488" w:rsidP="00633488">
      <w:pPr>
        <w:pStyle w:val="NoSpacing"/>
        <w:numPr>
          <w:ilvl w:val="0"/>
          <w:numId w:val="2"/>
        </w:numPr>
        <w:rPr>
          <w:b/>
          <w:bCs/>
          <w:color w:val="002060"/>
          <w:sz w:val="24"/>
          <w:szCs w:val="24"/>
        </w:rPr>
      </w:pPr>
      <w:bookmarkStart w:id="2" w:name="_Hlk90835141"/>
      <w:proofErr w:type="spellStart"/>
      <w:r w:rsidRPr="00633488">
        <w:rPr>
          <w:b/>
          <w:bCs/>
          <w:color w:val="002060"/>
          <w:sz w:val="24"/>
          <w:szCs w:val="24"/>
        </w:rPr>
        <w:t>Aandachtspunten</w:t>
      </w:r>
      <w:proofErr w:type="spellEnd"/>
    </w:p>
    <w:p w14:paraId="67BCEC24" w14:textId="77777777" w:rsidR="00633488" w:rsidRPr="00633488" w:rsidRDefault="00633488" w:rsidP="00633488">
      <w:pPr>
        <w:pStyle w:val="NoSpacing"/>
        <w:rPr>
          <w:sz w:val="24"/>
          <w:szCs w:val="24"/>
        </w:rPr>
      </w:pPr>
    </w:p>
    <w:p w14:paraId="3D7EE83B" w14:textId="55BC09E7" w:rsidR="00633488" w:rsidRPr="00633488" w:rsidRDefault="00633488" w:rsidP="00633488">
      <w:pPr>
        <w:pStyle w:val="NoSpacing"/>
        <w:numPr>
          <w:ilvl w:val="1"/>
          <w:numId w:val="2"/>
        </w:numPr>
        <w:rPr>
          <w:color w:val="002060"/>
          <w:sz w:val="24"/>
          <w:szCs w:val="24"/>
          <w:u w:val="single"/>
        </w:rPr>
      </w:pPr>
      <w:proofErr w:type="spellStart"/>
      <w:r w:rsidRPr="00633488">
        <w:rPr>
          <w:color w:val="002060"/>
          <w:sz w:val="24"/>
          <w:szCs w:val="24"/>
          <w:u w:val="single"/>
        </w:rPr>
        <w:t>Voor</w:t>
      </w:r>
      <w:proofErr w:type="spellEnd"/>
      <w:r w:rsidRPr="00633488">
        <w:rPr>
          <w:color w:val="002060"/>
          <w:sz w:val="24"/>
          <w:szCs w:val="24"/>
          <w:u w:val="single"/>
        </w:rPr>
        <w:t xml:space="preserve"> </w:t>
      </w:r>
      <w:proofErr w:type="spellStart"/>
      <w:r w:rsidRPr="00633488">
        <w:rPr>
          <w:color w:val="002060"/>
          <w:sz w:val="24"/>
          <w:szCs w:val="24"/>
          <w:u w:val="single"/>
        </w:rPr>
        <w:t>toediening</w:t>
      </w:r>
      <w:proofErr w:type="spellEnd"/>
      <w:r w:rsidRPr="00633488">
        <w:rPr>
          <w:color w:val="002060"/>
          <w:sz w:val="24"/>
          <w:szCs w:val="24"/>
          <w:u w:val="single"/>
        </w:rPr>
        <w:t xml:space="preserve"> </w:t>
      </w:r>
    </w:p>
    <w:p w14:paraId="5EAAEC25" w14:textId="3583B3ED" w:rsidR="00F2511B" w:rsidRDefault="00F2511B" w:rsidP="00F2511B">
      <w:pPr>
        <w:pStyle w:val="NoSpacing"/>
        <w:ind w:left="1416"/>
        <w:rPr>
          <w:lang w:val="nl-NL"/>
        </w:rPr>
      </w:pPr>
      <w:r w:rsidRPr="00822FE7">
        <w:rPr>
          <w:lang w:val="nl-NL"/>
        </w:rPr>
        <w:t xml:space="preserve">Vóór en na de injectie moeten geneesmiddelen worden toegediend om het risico op IRR’s met daratumumab </w:t>
      </w:r>
      <w:r>
        <w:rPr>
          <w:lang w:val="nl-NL"/>
        </w:rPr>
        <w:t xml:space="preserve">SC </w:t>
      </w:r>
      <w:r w:rsidRPr="00822FE7">
        <w:rPr>
          <w:lang w:val="nl-NL"/>
        </w:rPr>
        <w:t>te beperken</w:t>
      </w:r>
      <w:r>
        <w:rPr>
          <w:lang w:val="nl-NL"/>
        </w:rPr>
        <w:t xml:space="preserve"> (zie </w:t>
      </w:r>
      <w:proofErr w:type="spellStart"/>
      <w:r w:rsidR="00756A2D">
        <w:rPr>
          <w:lang w:val="nl-NL"/>
        </w:rPr>
        <w:t>SmPC</w:t>
      </w:r>
      <w:proofErr w:type="spellEnd"/>
      <w:r w:rsidR="00756A2D">
        <w:rPr>
          <w:lang w:val="nl-NL"/>
        </w:rPr>
        <w:t xml:space="preserve"> </w:t>
      </w:r>
      <w:r w:rsidR="000126A5">
        <w:rPr>
          <w:lang w:val="nl-NL"/>
        </w:rPr>
        <w:t>Darzalex</w:t>
      </w:r>
      <w:r w:rsidR="001F1605">
        <w:rPr>
          <w:lang w:val="nl-NL"/>
        </w:rPr>
        <w:t xml:space="preserve"> &amp; </w:t>
      </w:r>
      <w:r w:rsidR="00756A2D">
        <w:rPr>
          <w:lang w:val="nl-NL"/>
        </w:rPr>
        <w:t xml:space="preserve">secties </w:t>
      </w:r>
      <w:r>
        <w:rPr>
          <w:lang w:val="nl-NL"/>
        </w:rPr>
        <w:t>6</w:t>
      </w:r>
      <w:r w:rsidR="001F1605">
        <w:rPr>
          <w:lang w:val="nl-NL"/>
        </w:rPr>
        <w:t>a</w:t>
      </w:r>
      <w:r>
        <w:rPr>
          <w:lang w:val="nl-NL"/>
        </w:rPr>
        <w:t xml:space="preserve"> en 6</w:t>
      </w:r>
      <w:r w:rsidR="001F1605">
        <w:rPr>
          <w:lang w:val="nl-NL"/>
        </w:rPr>
        <w:t>b</w:t>
      </w:r>
      <w:r w:rsidR="00756A2D" w:rsidRPr="00756A2D">
        <w:rPr>
          <w:vertAlign w:val="superscript"/>
          <w:lang w:val="nl-NL"/>
        </w:rPr>
        <w:t>1</w:t>
      </w:r>
      <w:r>
        <w:rPr>
          <w:lang w:val="nl-NL"/>
        </w:rPr>
        <w:t>)</w:t>
      </w:r>
      <w:r w:rsidRPr="00822FE7">
        <w:rPr>
          <w:lang w:val="nl-NL"/>
        </w:rPr>
        <w:t>.</w:t>
      </w:r>
      <w:r>
        <w:rPr>
          <w:lang w:val="nl-NL"/>
        </w:rPr>
        <w:t xml:space="preserve"> </w:t>
      </w:r>
      <w:r w:rsidRPr="00822FE7">
        <w:rPr>
          <w:lang w:val="nl-NL"/>
        </w:rPr>
        <w:t xml:space="preserve">Patiënten dienen te worden gemonitord en advies te krijgen met betrekking tot IRR’s, in het bijzonder tijdens en na de eerste en tweede injectie. </w:t>
      </w:r>
      <w:proofErr w:type="gramStart"/>
      <w:r w:rsidRPr="00822FE7">
        <w:rPr>
          <w:lang w:val="nl-NL"/>
        </w:rPr>
        <w:t>Indien</w:t>
      </w:r>
      <w:proofErr w:type="gramEnd"/>
      <w:r w:rsidRPr="00822FE7">
        <w:rPr>
          <w:lang w:val="nl-NL"/>
        </w:rPr>
        <w:t xml:space="preserve"> er een anafylactische reactie of levensbedreigende (graad 4) reactie optreedt, dient onmiddellijk passende noodhulp te worden geboden. De behandeling met </w:t>
      </w:r>
      <w:r>
        <w:rPr>
          <w:lang w:val="nl-NL"/>
        </w:rPr>
        <w:t>daratumumab SC</w:t>
      </w:r>
      <w:r w:rsidRPr="00822FE7">
        <w:rPr>
          <w:lang w:val="nl-NL"/>
        </w:rPr>
        <w:t xml:space="preserve"> moet onmiddellijk en permanent worden stopgezet</w:t>
      </w:r>
      <w:r>
        <w:rPr>
          <w:lang w:val="nl-NL"/>
        </w:rPr>
        <w:t>.</w:t>
      </w:r>
    </w:p>
    <w:p w14:paraId="5E323057" w14:textId="77777777" w:rsidR="00F2511B" w:rsidRDefault="00F2511B" w:rsidP="00F2511B">
      <w:pPr>
        <w:pStyle w:val="NoSpacing"/>
        <w:ind w:left="720"/>
        <w:rPr>
          <w:lang w:val="nl-NL"/>
        </w:rPr>
      </w:pPr>
    </w:p>
    <w:p w14:paraId="46755ED5" w14:textId="6AD9519D" w:rsidR="00F2511B" w:rsidRDefault="00F2511B" w:rsidP="00F2511B">
      <w:pPr>
        <w:pStyle w:val="NoSpacing"/>
        <w:ind w:left="1416"/>
        <w:rPr>
          <w:lang w:val="nl-NL"/>
        </w:rPr>
      </w:pPr>
      <w:r w:rsidRPr="00EC0EB6">
        <w:rPr>
          <w:lang w:val="nl-NL"/>
        </w:rPr>
        <w:t xml:space="preserve">Patiënten met een voorgeschiedenis van chronisch obstructieve longziekte kunnen aanvullende post-injectiemedicatie nodig hebben ter behandeling van respiratoire complicaties. Voor patiënten met chronisch obstructieve longziekte dient het gebruik van geneesmiddelen na de injectie (bijvoorbeeld kort- en langwerkende </w:t>
      </w:r>
      <w:proofErr w:type="spellStart"/>
      <w:r w:rsidRPr="00EC0EB6">
        <w:rPr>
          <w:lang w:val="nl-NL"/>
        </w:rPr>
        <w:t>bronchodilatoren</w:t>
      </w:r>
      <w:proofErr w:type="spellEnd"/>
      <w:r w:rsidRPr="00EC0EB6">
        <w:rPr>
          <w:lang w:val="nl-NL"/>
        </w:rPr>
        <w:t xml:space="preserve"> en inhalatiecorticosteroïden) te worden overwogen (zie </w:t>
      </w:r>
      <w:proofErr w:type="spellStart"/>
      <w:r w:rsidR="00C9373A">
        <w:rPr>
          <w:lang w:val="nl-NL"/>
        </w:rPr>
        <w:t>SmPC</w:t>
      </w:r>
      <w:proofErr w:type="spellEnd"/>
      <w:r w:rsidR="00C9373A">
        <w:rPr>
          <w:lang w:val="nl-NL"/>
        </w:rPr>
        <w:t xml:space="preserve"> </w:t>
      </w:r>
      <w:r w:rsidR="000126A5">
        <w:rPr>
          <w:lang w:val="nl-NL"/>
        </w:rPr>
        <w:t>Darzalex</w:t>
      </w:r>
      <w:r w:rsidR="001F1605">
        <w:rPr>
          <w:lang w:val="nl-NL"/>
        </w:rPr>
        <w:t xml:space="preserve"> &amp; </w:t>
      </w:r>
      <w:r w:rsidR="00C9373A">
        <w:rPr>
          <w:lang w:val="nl-NL"/>
        </w:rPr>
        <w:t>secti</w:t>
      </w:r>
      <w:r w:rsidR="00756A2D">
        <w:rPr>
          <w:lang w:val="nl-NL"/>
        </w:rPr>
        <w:t>e</w:t>
      </w:r>
      <w:r w:rsidR="00C9373A">
        <w:rPr>
          <w:lang w:val="nl-NL"/>
        </w:rPr>
        <w:t xml:space="preserve"> </w:t>
      </w:r>
      <w:r>
        <w:rPr>
          <w:lang w:val="nl-NL"/>
        </w:rPr>
        <w:t>6b</w:t>
      </w:r>
      <w:r w:rsidR="00C9373A" w:rsidRPr="00C9373A">
        <w:rPr>
          <w:vertAlign w:val="superscript"/>
          <w:lang w:val="nl-NL"/>
        </w:rPr>
        <w:t>1</w:t>
      </w:r>
      <w:r w:rsidRPr="00EC0EB6">
        <w:rPr>
          <w:lang w:val="nl-NL"/>
        </w:rPr>
        <w:t>).</w:t>
      </w:r>
    </w:p>
    <w:p w14:paraId="20783006" w14:textId="77777777" w:rsidR="00F2511B" w:rsidRDefault="00F2511B" w:rsidP="00F2511B">
      <w:pPr>
        <w:pStyle w:val="ListParagraph"/>
        <w:spacing w:line="240" w:lineRule="auto"/>
        <w:rPr>
          <w:rFonts w:ascii="Calibri" w:eastAsia="Calibri" w:hAnsi="Calibri" w:cs="Calibri"/>
          <w:highlight w:val="yellow"/>
          <w:lang w:val="nl-NL"/>
        </w:rPr>
      </w:pPr>
    </w:p>
    <w:p w14:paraId="1FC3FA6E" w14:textId="6500CAAE" w:rsidR="00F2511B" w:rsidRPr="009758EB" w:rsidRDefault="00F2511B" w:rsidP="00F2511B">
      <w:pPr>
        <w:pStyle w:val="ListParagraph"/>
        <w:spacing w:line="240" w:lineRule="auto"/>
        <w:ind w:left="1416"/>
        <w:rPr>
          <w:rStyle w:val="eop"/>
          <w:lang w:val="nl-NL"/>
        </w:rPr>
      </w:pPr>
      <w:r w:rsidRPr="00F2511B">
        <w:rPr>
          <w:rFonts w:ascii="Calibri" w:eastAsia="Calibri" w:hAnsi="Calibri" w:cs="Calibri"/>
          <w:lang w:val="nl-NL"/>
        </w:rPr>
        <w:lastRenderedPageBreak/>
        <w:t>Voor patiënten met een hoger risico op ademhalingsproblemen (FEV1 &lt;75%), de volgende postmedicatie overwegen: Antihistaminicum (</w:t>
      </w:r>
      <w:proofErr w:type="spellStart"/>
      <w:r w:rsidRPr="00F2511B">
        <w:rPr>
          <w:rFonts w:ascii="Calibri" w:eastAsia="Calibri" w:hAnsi="Calibri" w:cs="Calibri"/>
          <w:lang w:val="nl-NL"/>
        </w:rPr>
        <w:t>difenhydramine</w:t>
      </w:r>
      <w:proofErr w:type="spellEnd"/>
      <w:r w:rsidRPr="00F2511B">
        <w:rPr>
          <w:rFonts w:ascii="Calibri" w:eastAsia="Calibri" w:hAnsi="Calibri" w:cs="Calibri"/>
          <w:lang w:val="nl-NL"/>
        </w:rPr>
        <w:t xml:space="preserve"> of equivalent) op de eerste en tweede dag na elke daratumumab infusie/injectie en een kortwerkende </w:t>
      </w:r>
      <w:r w:rsidRPr="00F2511B">
        <w:rPr>
          <w:rFonts w:ascii="Calibri" w:eastAsia="Calibri" w:hAnsi="Calibri" w:cs="Calibri"/>
        </w:rPr>
        <w:t>β</w:t>
      </w:r>
      <w:r w:rsidRPr="00F2511B">
        <w:rPr>
          <w:rFonts w:ascii="Calibri" w:eastAsia="Calibri" w:hAnsi="Calibri" w:cs="Calibri"/>
          <w:lang w:val="nl-NL"/>
        </w:rPr>
        <w:t xml:space="preserve">2 </w:t>
      </w:r>
      <w:proofErr w:type="spellStart"/>
      <w:r w:rsidRPr="00F2511B">
        <w:rPr>
          <w:rFonts w:ascii="Calibri" w:eastAsia="Calibri" w:hAnsi="Calibri" w:cs="Calibri"/>
          <w:lang w:val="nl-NL"/>
        </w:rPr>
        <w:t>adrenerge</w:t>
      </w:r>
      <w:proofErr w:type="spellEnd"/>
      <w:r w:rsidRPr="00F2511B">
        <w:rPr>
          <w:rFonts w:ascii="Calibri" w:eastAsia="Calibri" w:hAnsi="Calibri" w:cs="Calibri"/>
          <w:lang w:val="nl-NL"/>
        </w:rPr>
        <w:t xml:space="preserve"> receptor agonist. Deze laatste in geval van astma vervangen door inhalatiecorticosteroïden ± langwerkende </w:t>
      </w:r>
      <w:r w:rsidRPr="00F2511B">
        <w:rPr>
          <w:rFonts w:ascii="Calibri" w:eastAsia="Calibri" w:hAnsi="Calibri" w:cs="Calibri"/>
        </w:rPr>
        <w:t>β</w:t>
      </w:r>
      <w:r w:rsidRPr="00F2511B">
        <w:rPr>
          <w:rFonts w:ascii="Calibri" w:eastAsia="Calibri" w:hAnsi="Calibri" w:cs="Calibri"/>
          <w:lang w:val="nl-NL"/>
        </w:rPr>
        <w:t xml:space="preserve">2 </w:t>
      </w:r>
      <w:proofErr w:type="spellStart"/>
      <w:r w:rsidRPr="00F2511B">
        <w:rPr>
          <w:rFonts w:ascii="Calibri" w:eastAsia="Calibri" w:hAnsi="Calibri" w:cs="Calibri"/>
          <w:lang w:val="nl-NL"/>
        </w:rPr>
        <w:t>adrenerge</w:t>
      </w:r>
      <w:proofErr w:type="spellEnd"/>
      <w:r w:rsidRPr="00F2511B">
        <w:rPr>
          <w:rFonts w:ascii="Calibri" w:eastAsia="Calibri" w:hAnsi="Calibri" w:cs="Calibri"/>
          <w:lang w:val="nl-NL"/>
        </w:rPr>
        <w:t xml:space="preserve"> receptoragonisten en in geval van COPD vervangen door langwerkende </w:t>
      </w:r>
      <w:proofErr w:type="spellStart"/>
      <w:r w:rsidRPr="00F2511B">
        <w:rPr>
          <w:rFonts w:ascii="Calibri" w:eastAsia="Calibri" w:hAnsi="Calibri" w:cs="Calibri"/>
          <w:lang w:val="nl-NL"/>
        </w:rPr>
        <w:t>bronchodilatatoren</w:t>
      </w:r>
      <w:proofErr w:type="spellEnd"/>
      <w:r w:rsidRPr="00F2511B">
        <w:rPr>
          <w:rFonts w:ascii="Calibri" w:eastAsia="Calibri" w:hAnsi="Calibri" w:cs="Calibri"/>
          <w:lang w:val="nl-NL"/>
        </w:rPr>
        <w:t xml:space="preserve"> zoals </w:t>
      </w:r>
      <w:proofErr w:type="spellStart"/>
      <w:r w:rsidRPr="00F2511B">
        <w:rPr>
          <w:rFonts w:ascii="Calibri" w:eastAsia="Calibri" w:hAnsi="Calibri" w:cs="Calibri"/>
          <w:lang w:val="nl-NL"/>
        </w:rPr>
        <w:t>tiotropium</w:t>
      </w:r>
      <w:proofErr w:type="spellEnd"/>
      <w:r w:rsidRPr="00F2511B">
        <w:rPr>
          <w:rFonts w:ascii="Calibri" w:eastAsia="Calibri" w:hAnsi="Calibri" w:cs="Calibri"/>
          <w:lang w:val="nl-NL"/>
        </w:rPr>
        <w:t xml:space="preserve"> of </w:t>
      </w:r>
      <w:r w:rsidRPr="00454A11">
        <w:rPr>
          <w:rFonts w:ascii="Calibri" w:eastAsia="Calibri" w:hAnsi="Calibri" w:cs="Calibri"/>
          <w:lang w:val="nl-NL"/>
        </w:rPr>
        <w:t xml:space="preserve">salmeterol ± </w:t>
      </w:r>
      <w:r w:rsidR="00454A11" w:rsidRPr="00454A11">
        <w:rPr>
          <w:rFonts w:ascii="Calibri" w:eastAsia="Calibri" w:hAnsi="Calibri" w:cs="Calibri"/>
          <w:lang w:val="nl-NL"/>
        </w:rPr>
        <w:t>i</w:t>
      </w:r>
      <w:r w:rsidRPr="00454A11">
        <w:rPr>
          <w:rFonts w:ascii="Calibri" w:eastAsia="Calibri" w:hAnsi="Calibri" w:cs="Calibri"/>
          <w:lang w:val="nl-NL"/>
        </w:rPr>
        <w:t>nhalatiecorticosteroïden.</w:t>
      </w:r>
      <w:r w:rsidR="00756A2D" w:rsidRPr="00454A11">
        <w:rPr>
          <w:rFonts w:ascii="Calibri" w:eastAsia="Calibri" w:hAnsi="Calibri" w:cs="Calibri"/>
          <w:lang w:val="nl-NL"/>
        </w:rPr>
        <w:t xml:space="preserve"> [</w:t>
      </w:r>
      <w:proofErr w:type="gramStart"/>
      <w:r w:rsidR="00756A2D">
        <w:rPr>
          <w:rFonts w:ascii="Calibri" w:eastAsia="Calibri" w:hAnsi="Calibri" w:cs="Calibri"/>
          <w:lang w:val="nl-NL"/>
        </w:rPr>
        <w:t>bron</w:t>
      </w:r>
      <w:proofErr w:type="gramEnd"/>
      <w:r w:rsidR="00756A2D">
        <w:rPr>
          <w:rFonts w:ascii="Calibri" w:eastAsia="Calibri" w:hAnsi="Calibri" w:cs="Calibri"/>
          <w:lang w:val="nl-NL"/>
        </w:rPr>
        <w:t xml:space="preserve"> voor deze alinea: HOVON Richtlijn</w:t>
      </w:r>
      <w:r w:rsidRPr="00F2511B">
        <w:rPr>
          <w:rFonts w:ascii="Calibri" w:eastAsia="Calibri" w:hAnsi="Calibri" w:cs="Calibri"/>
          <w:vertAlign w:val="superscript"/>
          <w:lang w:val="nl-NL"/>
        </w:rPr>
        <w:t>5</w:t>
      </w:r>
      <w:r w:rsidR="00756A2D">
        <w:rPr>
          <w:rFonts w:ascii="Calibri" w:eastAsia="Calibri" w:hAnsi="Calibri" w:cs="Calibri"/>
          <w:vertAlign w:val="superscript"/>
          <w:lang w:val="nl-NL"/>
        </w:rPr>
        <w:t>]</w:t>
      </w:r>
    </w:p>
    <w:p w14:paraId="6BAD1C43" w14:textId="77777777" w:rsidR="007706C9" w:rsidRDefault="007706C9" w:rsidP="00F2511B">
      <w:pPr>
        <w:pStyle w:val="ListParagraph"/>
        <w:spacing w:line="240" w:lineRule="auto"/>
        <w:ind w:left="1416"/>
        <w:rPr>
          <w:rFonts w:ascii="Calibri" w:eastAsia="Calibri" w:hAnsi="Calibri" w:cs="Calibri"/>
          <w:i/>
          <w:iCs/>
          <w:lang w:val="nl-NL"/>
        </w:rPr>
      </w:pPr>
    </w:p>
    <w:p w14:paraId="3C6B1AC3" w14:textId="0A9E0832" w:rsidR="00F2511B" w:rsidRPr="00F2511B" w:rsidRDefault="00F2511B" w:rsidP="00F2511B">
      <w:pPr>
        <w:pStyle w:val="ListParagraph"/>
        <w:spacing w:line="240" w:lineRule="auto"/>
        <w:ind w:left="1416"/>
        <w:rPr>
          <w:rFonts w:ascii="Calibri" w:eastAsia="Calibri" w:hAnsi="Calibri" w:cs="Calibri"/>
          <w:i/>
          <w:iCs/>
          <w:lang w:val="nl-NL"/>
        </w:rPr>
      </w:pPr>
      <w:r w:rsidRPr="00F2511B">
        <w:rPr>
          <w:rFonts w:ascii="Calibri" w:eastAsia="Calibri" w:hAnsi="Calibri" w:cs="Calibri"/>
          <w:i/>
          <w:iCs/>
          <w:lang w:val="nl-NL"/>
        </w:rPr>
        <w:t xml:space="preserve">Neutropenie/trombocytopenie </w:t>
      </w:r>
    </w:p>
    <w:p w14:paraId="73EE8BA5" w14:textId="06A0BBCB" w:rsidR="00F2511B" w:rsidRPr="00F2511B" w:rsidRDefault="00F2511B" w:rsidP="00F2511B">
      <w:pPr>
        <w:pStyle w:val="ListParagraph"/>
        <w:spacing w:line="240" w:lineRule="auto"/>
        <w:ind w:left="1416"/>
        <w:rPr>
          <w:rFonts w:ascii="Calibri" w:eastAsia="Calibri" w:hAnsi="Calibri" w:cs="Calibri"/>
          <w:lang w:val="nl-NL"/>
        </w:rPr>
      </w:pPr>
      <w:r>
        <w:rPr>
          <w:rFonts w:ascii="Calibri" w:eastAsia="Calibri" w:hAnsi="Calibri" w:cs="Calibri"/>
          <w:lang w:val="nl-NL"/>
        </w:rPr>
        <w:t>Daratumumab SC</w:t>
      </w:r>
      <w:r w:rsidRPr="00F2511B">
        <w:rPr>
          <w:rFonts w:ascii="Calibri" w:eastAsia="Calibri" w:hAnsi="Calibri" w:cs="Calibri"/>
          <w:lang w:val="nl-NL"/>
        </w:rPr>
        <w:t xml:space="preserve"> kan neutropenie en trombocytopenie, veroorzaakt door achtergrondbehandeling, verergeren. Tijdens de behandeling dient periodiek het volledige bloedbeeld te worden gecontroleerd volgens de voorschrijfinformatie van de fabrikant met betrekking tot achtergrondbehandelingen. Patiënten met neutropenie dienen gecontroleerd te worden op tekenen van infectie. Het kan nodig zijn de behandeling met </w:t>
      </w:r>
      <w:r>
        <w:rPr>
          <w:rFonts w:ascii="Calibri" w:eastAsia="Calibri" w:hAnsi="Calibri" w:cs="Calibri"/>
          <w:lang w:val="nl-NL"/>
        </w:rPr>
        <w:t>daratumumab SC</w:t>
      </w:r>
      <w:r w:rsidRPr="00F2511B">
        <w:rPr>
          <w:rFonts w:ascii="Calibri" w:eastAsia="Calibri" w:hAnsi="Calibri" w:cs="Calibri"/>
          <w:lang w:val="nl-NL"/>
        </w:rPr>
        <w:t xml:space="preserve"> uit te stellen totdat het bloedbeeld is hersteld. Bij patiënten met een lager lichaamsgewicht die </w:t>
      </w:r>
      <w:r>
        <w:rPr>
          <w:rFonts w:ascii="Calibri" w:eastAsia="Calibri" w:hAnsi="Calibri" w:cs="Calibri"/>
          <w:lang w:val="nl-NL"/>
        </w:rPr>
        <w:t>daratumumab SC</w:t>
      </w:r>
      <w:r w:rsidRPr="00F2511B">
        <w:rPr>
          <w:rFonts w:ascii="Calibri" w:eastAsia="Calibri" w:hAnsi="Calibri" w:cs="Calibri"/>
          <w:lang w:val="nl-NL"/>
        </w:rPr>
        <w:t xml:space="preserve"> kregen, werd meer neutropenie waargenomen. Dit was echter niet geassocieerd met hogere aantallen ernstige infecties. Het wordt afgeraden de dosis van </w:t>
      </w:r>
      <w:r>
        <w:rPr>
          <w:rFonts w:ascii="Calibri" w:eastAsia="Calibri" w:hAnsi="Calibri" w:cs="Calibri"/>
          <w:lang w:val="nl-NL"/>
        </w:rPr>
        <w:t>daratumumab SC</w:t>
      </w:r>
      <w:r w:rsidRPr="00F2511B">
        <w:rPr>
          <w:rFonts w:ascii="Calibri" w:eastAsia="Calibri" w:hAnsi="Calibri" w:cs="Calibri"/>
          <w:lang w:val="nl-NL"/>
        </w:rPr>
        <w:t xml:space="preserve"> te verlagen. Overweeg een ondersteunende behandeling met bloedtransfusies of groeifactoren.</w:t>
      </w:r>
    </w:p>
    <w:p w14:paraId="21702CDC" w14:textId="77777777" w:rsidR="00F2511B" w:rsidRPr="00F2511B" w:rsidRDefault="00F2511B" w:rsidP="00F2511B">
      <w:pPr>
        <w:pStyle w:val="ListParagraph"/>
        <w:spacing w:line="240" w:lineRule="auto"/>
        <w:ind w:left="1416"/>
        <w:rPr>
          <w:rFonts w:ascii="Calibri" w:eastAsia="Calibri" w:hAnsi="Calibri" w:cs="Calibri"/>
          <w:lang w:val="nl-NL"/>
        </w:rPr>
      </w:pPr>
    </w:p>
    <w:p w14:paraId="50BBB9A4" w14:textId="77777777" w:rsidR="00C9373A" w:rsidRPr="00C9373A" w:rsidRDefault="00C9373A" w:rsidP="00F2511B">
      <w:pPr>
        <w:pStyle w:val="ListParagraph"/>
        <w:spacing w:line="240" w:lineRule="auto"/>
        <w:ind w:left="1416"/>
        <w:rPr>
          <w:i/>
          <w:iCs/>
          <w:lang w:val="nl-NL"/>
        </w:rPr>
      </w:pPr>
      <w:r w:rsidRPr="00C9373A">
        <w:rPr>
          <w:i/>
          <w:iCs/>
          <w:lang w:val="nl-NL"/>
        </w:rPr>
        <w:t xml:space="preserve">Interferentie met indirecte </w:t>
      </w:r>
      <w:proofErr w:type="spellStart"/>
      <w:r w:rsidRPr="00C9373A">
        <w:rPr>
          <w:i/>
          <w:iCs/>
          <w:lang w:val="nl-NL"/>
        </w:rPr>
        <w:t>antiglobulinetest</w:t>
      </w:r>
      <w:proofErr w:type="spellEnd"/>
      <w:r w:rsidRPr="00C9373A">
        <w:rPr>
          <w:i/>
          <w:iCs/>
          <w:lang w:val="nl-NL"/>
        </w:rPr>
        <w:t xml:space="preserve"> (indirecte </w:t>
      </w:r>
      <w:proofErr w:type="spellStart"/>
      <w:r w:rsidRPr="00C9373A">
        <w:rPr>
          <w:i/>
          <w:iCs/>
          <w:lang w:val="nl-NL"/>
        </w:rPr>
        <w:t>Coombstest</w:t>
      </w:r>
      <w:proofErr w:type="spellEnd"/>
      <w:r w:rsidRPr="00C9373A">
        <w:rPr>
          <w:i/>
          <w:iCs/>
          <w:lang w:val="nl-NL"/>
        </w:rPr>
        <w:t>)</w:t>
      </w:r>
    </w:p>
    <w:p w14:paraId="41AD08A0" w14:textId="67F8D978" w:rsidR="00F2511B" w:rsidRDefault="00F2511B" w:rsidP="00F2511B">
      <w:pPr>
        <w:pStyle w:val="ListParagraph"/>
        <w:spacing w:line="240" w:lineRule="auto"/>
        <w:ind w:left="1416"/>
        <w:rPr>
          <w:rFonts w:ascii="Calibri" w:eastAsia="Calibri" w:hAnsi="Calibri" w:cs="Calibri"/>
          <w:lang w:val="nl-NL"/>
        </w:rPr>
      </w:pPr>
      <w:r w:rsidRPr="00F2511B">
        <w:rPr>
          <w:rFonts w:ascii="Calibri" w:eastAsia="Calibri" w:hAnsi="Calibri" w:cs="Calibri"/>
          <w:lang w:val="nl-NL"/>
        </w:rPr>
        <w:t>Patiënten dienen getypeerd en gescreend te worden alvorens de behandeling met daratumumab te starten. Voordat de behandeling met daratumumab wordt gestart kan fenotypering overwogen worden in overeenstemming met de lokale praktijken. Rode-bloedcelgenotypering wordt niet beïnvloed door daratumumab en kan op ieder moment uitgevoerd worden</w:t>
      </w:r>
      <w:r>
        <w:rPr>
          <w:rFonts w:ascii="Calibri" w:eastAsia="Calibri" w:hAnsi="Calibri" w:cs="Calibri"/>
          <w:lang w:val="nl-NL"/>
        </w:rPr>
        <w:t>.</w:t>
      </w:r>
      <w:r w:rsidRPr="00F2511B">
        <w:rPr>
          <w:rFonts w:ascii="Calibri" w:eastAsia="Calibri" w:hAnsi="Calibri" w:cs="Calibri"/>
          <w:lang w:val="nl-NL"/>
        </w:rPr>
        <w:t xml:space="preserve"> </w:t>
      </w:r>
    </w:p>
    <w:p w14:paraId="339427D7" w14:textId="77777777" w:rsidR="00F2511B" w:rsidRDefault="00F2511B" w:rsidP="00F2511B">
      <w:pPr>
        <w:pStyle w:val="ListParagraph"/>
        <w:spacing w:line="240" w:lineRule="auto"/>
        <w:ind w:left="1416"/>
        <w:rPr>
          <w:rFonts w:ascii="Calibri" w:eastAsia="Calibri" w:hAnsi="Calibri" w:cs="Calibri"/>
          <w:lang w:val="nl-NL"/>
        </w:rPr>
      </w:pPr>
    </w:p>
    <w:p w14:paraId="0BA848D6" w14:textId="53429962" w:rsidR="00C9373A" w:rsidRPr="00C9373A" w:rsidRDefault="00C9373A" w:rsidP="00C9373A">
      <w:pPr>
        <w:pStyle w:val="ListParagraph"/>
        <w:spacing w:after="0" w:line="240" w:lineRule="auto"/>
        <w:ind w:left="1418"/>
        <w:rPr>
          <w:rFonts w:ascii="Calibri" w:eastAsia="Calibri" w:hAnsi="Calibri" w:cs="Calibri"/>
          <w:i/>
          <w:iCs/>
          <w:lang w:val="nl-NL"/>
        </w:rPr>
      </w:pPr>
      <w:r w:rsidRPr="00C9373A">
        <w:rPr>
          <w:rFonts w:ascii="Calibri" w:eastAsia="Calibri" w:hAnsi="Calibri" w:cs="Calibri"/>
          <w:i/>
          <w:iCs/>
          <w:lang w:val="nl-NL"/>
        </w:rPr>
        <w:t>Gebruik</w:t>
      </w:r>
    </w:p>
    <w:p w14:paraId="4403318A" w14:textId="77777777" w:rsidR="00C9373A" w:rsidRDefault="00C9373A" w:rsidP="00C9373A">
      <w:pPr>
        <w:pStyle w:val="NoSpacing"/>
        <w:ind w:left="1418"/>
        <w:rPr>
          <w:lang w:val="nl-NL"/>
        </w:rPr>
      </w:pPr>
      <w:r w:rsidRPr="00E15D7F">
        <w:rPr>
          <w:lang w:val="nl-NL"/>
        </w:rPr>
        <w:t>Terugvinden herkomst</w:t>
      </w:r>
      <w:r>
        <w:rPr>
          <w:lang w:val="nl-NL"/>
        </w:rPr>
        <w:t>.</w:t>
      </w:r>
      <w:r w:rsidRPr="00E15D7F">
        <w:rPr>
          <w:lang w:val="nl-NL"/>
        </w:rPr>
        <w:t xml:space="preserve"> Om het terugvinden van de herkomst van </w:t>
      </w:r>
      <w:proofErr w:type="spellStart"/>
      <w:r w:rsidRPr="00E15D7F">
        <w:rPr>
          <w:lang w:val="nl-NL"/>
        </w:rPr>
        <w:t>biologicals</w:t>
      </w:r>
      <w:proofErr w:type="spellEnd"/>
      <w:r w:rsidRPr="00E15D7F">
        <w:rPr>
          <w:lang w:val="nl-NL"/>
        </w:rPr>
        <w:t xml:space="preserve"> te verbeteren moeten de naam en het batchnummer van het toegediende product goed geregistreerd worden. </w:t>
      </w:r>
    </w:p>
    <w:p w14:paraId="5E50275E" w14:textId="77777777" w:rsidR="00C9373A" w:rsidRDefault="00C9373A" w:rsidP="00F2511B">
      <w:pPr>
        <w:pStyle w:val="ListParagraph"/>
        <w:spacing w:line="240" w:lineRule="auto"/>
        <w:ind w:left="1416"/>
        <w:rPr>
          <w:rFonts w:ascii="Calibri" w:eastAsia="Calibri" w:hAnsi="Calibri" w:cs="Calibri"/>
          <w:lang w:val="nl-NL"/>
        </w:rPr>
      </w:pPr>
    </w:p>
    <w:p w14:paraId="6775A765" w14:textId="33299BF0" w:rsidR="00F2511B" w:rsidRPr="00F2511B" w:rsidRDefault="00F2511B" w:rsidP="00F2511B">
      <w:pPr>
        <w:pStyle w:val="ListParagraph"/>
        <w:spacing w:line="240" w:lineRule="auto"/>
        <w:ind w:left="1416"/>
        <w:rPr>
          <w:rFonts w:ascii="Calibri" w:eastAsia="Calibri" w:hAnsi="Calibri" w:cs="Calibri"/>
          <w:lang w:val="nl-NL"/>
        </w:rPr>
      </w:pPr>
      <w:r>
        <w:rPr>
          <w:rFonts w:ascii="Calibri" w:eastAsia="Calibri" w:hAnsi="Calibri" w:cs="Calibri"/>
          <w:lang w:val="nl-NL"/>
        </w:rPr>
        <w:t>Daratumumab SC</w:t>
      </w:r>
      <w:r w:rsidRPr="00F2511B">
        <w:rPr>
          <w:rFonts w:ascii="Calibri" w:eastAsia="Calibri" w:hAnsi="Calibri" w:cs="Calibri"/>
          <w:lang w:val="nl-NL"/>
        </w:rPr>
        <w:t xml:space="preserve"> moet worden toegediend door een beroepsbeoefenaar in de gezondheidszorg, en de eerste dosis dient te worden toegediend in een omgeving waar reanimatiefaciliteiten voorhanden zijn. Het is belangrijk de etiketten van de injectieflacons te controleren om er zeker van te zijn dat de juiste formulering (intraveneuze of subcutane formulering) en de juiste dosis aan de patiënt worden gegeven zoals voorgeschreven. </w:t>
      </w:r>
    </w:p>
    <w:p w14:paraId="27A3C5BA" w14:textId="77777777" w:rsidR="00F2511B" w:rsidRPr="00F2511B" w:rsidRDefault="00F2511B" w:rsidP="00F2511B">
      <w:pPr>
        <w:pStyle w:val="ListParagraph"/>
        <w:spacing w:line="240" w:lineRule="auto"/>
        <w:ind w:left="1416"/>
        <w:rPr>
          <w:rFonts w:ascii="Calibri" w:eastAsia="Calibri" w:hAnsi="Calibri" w:cs="Calibri"/>
          <w:lang w:val="nl-NL"/>
        </w:rPr>
      </w:pPr>
    </w:p>
    <w:p w14:paraId="50E549F6" w14:textId="21ED7909" w:rsidR="00F2511B" w:rsidRPr="00F2511B" w:rsidRDefault="00F2511B" w:rsidP="00F2511B">
      <w:pPr>
        <w:pStyle w:val="ListParagraph"/>
        <w:spacing w:line="240" w:lineRule="auto"/>
        <w:ind w:left="1416"/>
        <w:rPr>
          <w:rFonts w:ascii="Calibri" w:eastAsia="Calibri" w:hAnsi="Calibri" w:cs="Calibri"/>
          <w:lang w:val="nl-NL"/>
        </w:rPr>
      </w:pPr>
      <w:r>
        <w:rPr>
          <w:rFonts w:ascii="Calibri" w:eastAsia="Calibri" w:hAnsi="Calibri" w:cs="Calibri"/>
          <w:lang w:val="nl-NL"/>
        </w:rPr>
        <w:t>Daratumumab SC</w:t>
      </w:r>
      <w:r w:rsidRPr="00F2511B">
        <w:rPr>
          <w:rFonts w:ascii="Calibri" w:eastAsia="Calibri" w:hAnsi="Calibri" w:cs="Calibri"/>
          <w:lang w:val="nl-NL"/>
        </w:rPr>
        <w:t xml:space="preserve"> is uitsluitend voor eenmalig gebruik en is klaar voor gebruik. </w:t>
      </w:r>
      <w:r>
        <w:rPr>
          <w:rFonts w:ascii="Calibri" w:eastAsia="Calibri" w:hAnsi="Calibri" w:cs="Calibri"/>
          <w:lang w:val="nl-NL"/>
        </w:rPr>
        <w:t>Daratumumab SC</w:t>
      </w:r>
      <w:r w:rsidRPr="00F2511B">
        <w:rPr>
          <w:rFonts w:ascii="Calibri" w:eastAsia="Calibri" w:hAnsi="Calibri" w:cs="Calibri"/>
          <w:lang w:val="nl-NL"/>
        </w:rPr>
        <w:t xml:space="preserve"> dient een heldere tot opaalachtige en kleurloze tot gele oplossing te zijn. Niet gebruiken als er opake deeltjes, verkleuring of andere vreemde deeltjes aanwezig zijn. </w:t>
      </w:r>
    </w:p>
    <w:p w14:paraId="07533099" w14:textId="77777777" w:rsidR="00F2511B" w:rsidRPr="00F2511B" w:rsidRDefault="00F2511B" w:rsidP="00F2511B">
      <w:pPr>
        <w:pStyle w:val="ListParagraph"/>
        <w:spacing w:line="240" w:lineRule="auto"/>
        <w:ind w:left="1416"/>
        <w:rPr>
          <w:rFonts w:ascii="Calibri" w:eastAsia="Calibri" w:hAnsi="Calibri" w:cs="Calibri"/>
          <w:lang w:val="nl-NL"/>
        </w:rPr>
      </w:pPr>
    </w:p>
    <w:p w14:paraId="2A596A4B" w14:textId="77777777" w:rsidR="00F2511B" w:rsidRDefault="00F2511B" w:rsidP="00F2511B">
      <w:pPr>
        <w:pStyle w:val="ListParagraph"/>
        <w:spacing w:line="240" w:lineRule="auto"/>
        <w:ind w:left="1416"/>
        <w:rPr>
          <w:rFonts w:ascii="Calibri" w:eastAsia="Calibri" w:hAnsi="Calibri" w:cs="Calibri"/>
          <w:lang w:val="nl-NL"/>
        </w:rPr>
      </w:pPr>
      <w:r>
        <w:rPr>
          <w:rFonts w:ascii="Calibri" w:eastAsia="Calibri" w:hAnsi="Calibri" w:cs="Calibri"/>
          <w:lang w:val="nl-NL"/>
        </w:rPr>
        <w:t>Daratumumab SC</w:t>
      </w:r>
      <w:r w:rsidRPr="00F2511B">
        <w:rPr>
          <w:rFonts w:ascii="Calibri" w:eastAsia="Calibri" w:hAnsi="Calibri" w:cs="Calibri"/>
          <w:lang w:val="nl-NL"/>
        </w:rPr>
        <w:t xml:space="preserve"> is verenigbaar met spuiten van polypropyleen of van polyethyleen, met sets voor subcutane infusie van polypropyleen, polyethyleen of polyvinylchloride (PVC) en met transfer- en injectienaalden van roestvrij staal. </w:t>
      </w:r>
    </w:p>
    <w:p w14:paraId="21D5739A" w14:textId="77777777" w:rsidR="00D8695D" w:rsidRPr="00D8695D" w:rsidRDefault="00D8695D" w:rsidP="00D8695D">
      <w:pPr>
        <w:pStyle w:val="ListParagraph"/>
        <w:spacing w:line="240" w:lineRule="auto"/>
        <w:ind w:left="1416"/>
        <w:rPr>
          <w:rFonts w:ascii="Calibri" w:eastAsia="Calibri" w:hAnsi="Calibri" w:cs="Calibri"/>
          <w:lang w:val="nl-NL"/>
        </w:rPr>
      </w:pPr>
      <w:r w:rsidRPr="00D8695D">
        <w:rPr>
          <w:rFonts w:ascii="Calibri" w:eastAsia="Calibri" w:hAnsi="Calibri" w:cs="Calibri"/>
          <w:lang w:val="nl-NL"/>
        </w:rPr>
        <w:lastRenderedPageBreak/>
        <w:t xml:space="preserve">Haal de injectieflacon daratumumab SC uit de gekoelde opslagruimte (2°C-8°C) en laat deze op kamertemperatuur komen (≤30 °C). De </w:t>
      </w:r>
      <w:proofErr w:type="spellStart"/>
      <w:r w:rsidRPr="00D8695D">
        <w:rPr>
          <w:rFonts w:ascii="Calibri" w:eastAsia="Calibri" w:hAnsi="Calibri" w:cs="Calibri"/>
          <w:lang w:val="nl-NL"/>
        </w:rPr>
        <w:t>onaangeprikte</w:t>
      </w:r>
      <w:proofErr w:type="spellEnd"/>
      <w:r w:rsidRPr="00D8695D">
        <w:rPr>
          <w:rFonts w:ascii="Calibri" w:eastAsia="Calibri" w:hAnsi="Calibri" w:cs="Calibri"/>
          <w:lang w:val="nl-NL"/>
        </w:rPr>
        <w:t xml:space="preserve"> injectieflacon mag maximaal 24 uur bewaard worden bij kamertemperatuur in omgevingslicht in de oorspronkelijke verpakking ter bescherming tegen licht. Niet blootstellen aan direct zonlicht. Niet schudden.</w:t>
      </w:r>
    </w:p>
    <w:p w14:paraId="14C0A4C1" w14:textId="77777777" w:rsidR="00D8695D" w:rsidRPr="00D8695D" w:rsidRDefault="00D8695D" w:rsidP="00D8695D">
      <w:pPr>
        <w:pStyle w:val="ListParagraph"/>
        <w:spacing w:line="240" w:lineRule="auto"/>
        <w:ind w:left="1416"/>
        <w:rPr>
          <w:rFonts w:ascii="Calibri" w:eastAsia="Calibri" w:hAnsi="Calibri" w:cs="Calibri"/>
          <w:lang w:val="nl-NL"/>
        </w:rPr>
      </w:pPr>
    </w:p>
    <w:p w14:paraId="1D7C02F9" w14:textId="16C67069" w:rsidR="00F2511B" w:rsidRPr="00F2511B" w:rsidRDefault="00D8695D" w:rsidP="00D8695D">
      <w:pPr>
        <w:pStyle w:val="ListParagraph"/>
        <w:spacing w:line="240" w:lineRule="auto"/>
        <w:ind w:left="1416"/>
        <w:rPr>
          <w:rFonts w:ascii="Calibri" w:eastAsia="Calibri" w:hAnsi="Calibri" w:cs="Calibri"/>
          <w:lang w:val="nl-NL"/>
        </w:rPr>
      </w:pPr>
      <w:r w:rsidRPr="00D8695D">
        <w:rPr>
          <w:rFonts w:ascii="Calibri" w:eastAsia="Calibri" w:hAnsi="Calibri" w:cs="Calibri"/>
          <w:lang w:val="nl-NL"/>
        </w:rPr>
        <w:t>Maak de doseerspuit klaar onder gecontroleerde en gevalideerde aseptische omstandigheden. Bewaar daratumumab SC na overbrengen uit de injectieflacon in de spuit gekoeld gedurende maximaal 24 uur, gevolgd door maximaal 12 uur bij 15 °C-25 °C en in omgevingslicht</w:t>
      </w:r>
      <w:r>
        <w:rPr>
          <w:rFonts w:ascii="Calibri" w:eastAsia="Calibri" w:hAnsi="Calibri" w:cs="Calibri"/>
          <w:lang w:val="nl-NL"/>
        </w:rPr>
        <w:t xml:space="preserve"> </w:t>
      </w:r>
      <w:r w:rsidRPr="00D8695D">
        <w:rPr>
          <w:rFonts w:ascii="Calibri" w:eastAsia="Calibri" w:hAnsi="Calibri" w:cs="Calibri"/>
          <w:lang w:val="nl-NL"/>
        </w:rPr>
        <w:t>(zie rubriek 6.3</w:t>
      </w:r>
      <w:r>
        <w:rPr>
          <w:rFonts w:ascii="Calibri" w:eastAsia="Calibri" w:hAnsi="Calibri" w:cs="Calibri"/>
          <w:lang w:val="nl-NL"/>
        </w:rPr>
        <w:t xml:space="preserve"> van de SmPC</w:t>
      </w:r>
      <w:r w:rsidRPr="00D8695D">
        <w:rPr>
          <w:rFonts w:ascii="Calibri" w:eastAsia="Calibri" w:hAnsi="Calibri" w:cs="Calibri"/>
          <w:vertAlign w:val="superscript"/>
          <w:lang w:val="nl-NL"/>
        </w:rPr>
        <w:t>1</w:t>
      </w:r>
      <w:r w:rsidRPr="00D8695D">
        <w:rPr>
          <w:rFonts w:ascii="Calibri" w:eastAsia="Calibri" w:hAnsi="Calibri" w:cs="Calibri"/>
          <w:lang w:val="nl-NL"/>
        </w:rPr>
        <w:t xml:space="preserve">). Laat de oplossing voor toediening op kamertemperatuur komen </w:t>
      </w:r>
      <w:proofErr w:type="gramStart"/>
      <w:r w:rsidRPr="00D8695D">
        <w:rPr>
          <w:rFonts w:ascii="Calibri" w:eastAsia="Calibri" w:hAnsi="Calibri" w:cs="Calibri"/>
          <w:lang w:val="nl-NL"/>
        </w:rPr>
        <w:t>indien</w:t>
      </w:r>
      <w:proofErr w:type="gramEnd"/>
      <w:r w:rsidRPr="00D8695D">
        <w:rPr>
          <w:rFonts w:ascii="Calibri" w:eastAsia="Calibri" w:hAnsi="Calibri" w:cs="Calibri"/>
          <w:lang w:val="nl-NL"/>
        </w:rPr>
        <w:t xml:space="preserve"> deze bewaard werd in de koelkast.</w:t>
      </w:r>
      <w:r w:rsidR="00F2511B" w:rsidRPr="00F2511B">
        <w:rPr>
          <w:rFonts w:ascii="Calibri" w:eastAsia="Calibri" w:hAnsi="Calibri" w:cs="Calibri"/>
          <w:lang w:val="nl-NL"/>
        </w:rPr>
        <w:t xml:space="preserve"> </w:t>
      </w:r>
    </w:p>
    <w:p w14:paraId="398AD66F" w14:textId="77777777" w:rsidR="00F2511B" w:rsidRPr="00F2511B" w:rsidRDefault="00F2511B" w:rsidP="00F2511B">
      <w:pPr>
        <w:pStyle w:val="ListParagraph"/>
        <w:spacing w:line="240" w:lineRule="auto"/>
        <w:ind w:left="1416"/>
        <w:rPr>
          <w:rFonts w:ascii="Calibri" w:eastAsia="Calibri" w:hAnsi="Calibri" w:cs="Calibri"/>
          <w:lang w:val="nl-NL"/>
        </w:rPr>
      </w:pPr>
    </w:p>
    <w:p w14:paraId="2A64E794" w14:textId="4F42F37D" w:rsidR="00CC459F" w:rsidRPr="00CC459F" w:rsidRDefault="00CC459F" w:rsidP="00F2511B">
      <w:pPr>
        <w:pStyle w:val="ListParagraph"/>
        <w:spacing w:line="240" w:lineRule="auto"/>
        <w:ind w:left="1416"/>
        <w:rPr>
          <w:rFonts w:ascii="Calibri" w:eastAsia="Calibri" w:hAnsi="Calibri" w:cs="Calibri"/>
          <w:i/>
          <w:iCs/>
          <w:lang w:val="nl-NL"/>
        </w:rPr>
      </w:pPr>
      <w:r w:rsidRPr="00CC459F">
        <w:rPr>
          <w:rFonts w:ascii="Calibri" w:eastAsia="Calibri" w:hAnsi="Calibri" w:cs="Calibri"/>
          <w:i/>
          <w:iCs/>
          <w:lang w:val="nl-NL"/>
        </w:rPr>
        <w:t>Zwangerschap</w:t>
      </w:r>
    </w:p>
    <w:p w14:paraId="1E514135" w14:textId="6FF523A2" w:rsidR="00F2511B" w:rsidRPr="00F2511B" w:rsidRDefault="00F2511B" w:rsidP="00F2511B">
      <w:pPr>
        <w:pStyle w:val="ListParagraph"/>
        <w:spacing w:line="240" w:lineRule="auto"/>
        <w:ind w:left="1416"/>
        <w:rPr>
          <w:rFonts w:ascii="Calibri" w:eastAsia="Calibri" w:hAnsi="Calibri" w:cs="Calibri"/>
          <w:lang w:val="nl-NL"/>
        </w:rPr>
      </w:pPr>
      <w:r w:rsidRPr="00F2511B">
        <w:rPr>
          <w:rFonts w:ascii="Calibri" w:eastAsia="Calibri" w:hAnsi="Calibri" w:cs="Calibri"/>
          <w:lang w:val="nl-NL"/>
        </w:rPr>
        <w:t>Vrouwen die zwanger kunnen worden, moeten effectieve anticonceptie gebruiken tijdens en gedurende 3 maanden na het stoppen van de behandeling met</w:t>
      </w:r>
      <w:r w:rsidR="00AE6B92">
        <w:rPr>
          <w:rFonts w:ascii="Calibri" w:eastAsia="Calibri" w:hAnsi="Calibri" w:cs="Calibri"/>
          <w:lang w:val="nl-NL"/>
        </w:rPr>
        <w:t xml:space="preserve"> d</w:t>
      </w:r>
      <w:r w:rsidRPr="00F2511B">
        <w:rPr>
          <w:rFonts w:ascii="Calibri" w:eastAsia="Calibri" w:hAnsi="Calibri" w:cs="Calibri"/>
          <w:lang w:val="nl-NL"/>
        </w:rPr>
        <w:t>aratumumab</w:t>
      </w:r>
      <w:r w:rsidR="00AE6B92">
        <w:rPr>
          <w:rFonts w:ascii="Calibri" w:eastAsia="Calibri" w:hAnsi="Calibri" w:cs="Calibri"/>
          <w:lang w:val="nl-NL"/>
        </w:rPr>
        <w:t xml:space="preserve"> SC</w:t>
      </w:r>
      <w:r w:rsidRPr="00F2511B">
        <w:rPr>
          <w:rFonts w:ascii="Calibri" w:eastAsia="Calibri" w:hAnsi="Calibri" w:cs="Calibri"/>
          <w:lang w:val="nl-NL"/>
        </w:rPr>
        <w:t>.</w:t>
      </w:r>
    </w:p>
    <w:bookmarkEnd w:id="2"/>
    <w:p w14:paraId="2E3F62C6" w14:textId="7A6EC41C" w:rsidR="00F2511B" w:rsidRPr="00F2511B" w:rsidRDefault="00F2511B" w:rsidP="00F2511B">
      <w:pPr>
        <w:pStyle w:val="ListParagraph"/>
        <w:spacing w:line="240" w:lineRule="auto"/>
        <w:ind w:left="1416"/>
        <w:rPr>
          <w:rFonts w:ascii="Calibri" w:eastAsia="Calibri" w:hAnsi="Calibri" w:cs="Calibri"/>
          <w:lang w:val="nl-NL"/>
        </w:rPr>
      </w:pPr>
      <w:r w:rsidRPr="00F2511B">
        <w:rPr>
          <w:rFonts w:ascii="Calibri" w:eastAsia="Calibri" w:hAnsi="Calibri" w:cs="Calibri"/>
          <w:lang w:val="nl-NL"/>
        </w:rPr>
        <w:t xml:space="preserve"> </w:t>
      </w:r>
    </w:p>
    <w:p w14:paraId="5364EA78" w14:textId="77777777" w:rsidR="00AE6B92" w:rsidRPr="00AE6B92" w:rsidRDefault="00F2511B" w:rsidP="00F2511B">
      <w:pPr>
        <w:pStyle w:val="ListParagraph"/>
        <w:spacing w:line="240" w:lineRule="auto"/>
        <w:ind w:left="1416"/>
        <w:rPr>
          <w:rFonts w:ascii="Calibri" w:eastAsia="Calibri" w:hAnsi="Calibri" w:cs="Calibri"/>
          <w:i/>
          <w:iCs/>
          <w:lang w:val="nl-NL"/>
        </w:rPr>
      </w:pPr>
      <w:proofErr w:type="spellStart"/>
      <w:r w:rsidRPr="00AE6B92">
        <w:rPr>
          <w:rFonts w:ascii="Calibri" w:eastAsia="Calibri" w:hAnsi="Calibri" w:cs="Calibri"/>
          <w:i/>
          <w:iCs/>
          <w:lang w:val="nl-NL"/>
        </w:rPr>
        <w:t>Reactivatie</w:t>
      </w:r>
      <w:proofErr w:type="spellEnd"/>
      <w:r w:rsidRPr="00AE6B92">
        <w:rPr>
          <w:rFonts w:ascii="Calibri" w:eastAsia="Calibri" w:hAnsi="Calibri" w:cs="Calibri"/>
          <w:i/>
          <w:iCs/>
          <w:lang w:val="nl-NL"/>
        </w:rPr>
        <w:t xml:space="preserve"> van het hepatitis B-virus (HBV) </w:t>
      </w:r>
    </w:p>
    <w:p w14:paraId="50BD1B92" w14:textId="315BDF40" w:rsidR="00F2511B" w:rsidRPr="00F2511B" w:rsidRDefault="00F2511B" w:rsidP="00F2511B">
      <w:pPr>
        <w:pStyle w:val="ListParagraph"/>
        <w:spacing w:line="240" w:lineRule="auto"/>
        <w:ind w:left="1416"/>
        <w:rPr>
          <w:rFonts w:ascii="Calibri" w:eastAsia="Calibri" w:hAnsi="Calibri" w:cs="Calibri"/>
          <w:lang w:val="nl-NL"/>
        </w:rPr>
      </w:pPr>
      <w:proofErr w:type="spellStart"/>
      <w:r w:rsidRPr="00F2511B">
        <w:rPr>
          <w:rFonts w:ascii="Calibri" w:eastAsia="Calibri" w:hAnsi="Calibri" w:cs="Calibri"/>
          <w:lang w:val="nl-NL"/>
        </w:rPr>
        <w:t>Reactivatie</w:t>
      </w:r>
      <w:proofErr w:type="spellEnd"/>
      <w:r w:rsidRPr="00F2511B">
        <w:rPr>
          <w:rFonts w:ascii="Calibri" w:eastAsia="Calibri" w:hAnsi="Calibri" w:cs="Calibri"/>
          <w:lang w:val="nl-NL"/>
        </w:rPr>
        <w:t xml:space="preserve"> van het hepatitis B-virus, in enkele gevallen fataal, is gemeld bij patiënten die werden behandeld met </w:t>
      </w:r>
      <w:r w:rsidR="00CC459F">
        <w:rPr>
          <w:rFonts w:ascii="Calibri" w:eastAsia="Calibri" w:hAnsi="Calibri" w:cs="Calibri"/>
          <w:lang w:val="nl-NL"/>
        </w:rPr>
        <w:t>daratumumab</w:t>
      </w:r>
      <w:r w:rsidRPr="00F2511B">
        <w:rPr>
          <w:rFonts w:ascii="Calibri" w:eastAsia="Calibri" w:hAnsi="Calibri" w:cs="Calibri"/>
          <w:lang w:val="nl-NL"/>
        </w:rPr>
        <w:t xml:space="preserve">. Bij alle patiënten dient voor het begin van de behandeling met </w:t>
      </w:r>
      <w:r w:rsidR="00CC459F">
        <w:rPr>
          <w:rFonts w:ascii="Calibri" w:eastAsia="Calibri" w:hAnsi="Calibri" w:cs="Calibri"/>
          <w:lang w:val="nl-NL"/>
        </w:rPr>
        <w:t>daratumumab SC</w:t>
      </w:r>
      <w:r w:rsidRPr="00F2511B">
        <w:rPr>
          <w:rFonts w:ascii="Calibri" w:eastAsia="Calibri" w:hAnsi="Calibri" w:cs="Calibri"/>
          <w:lang w:val="nl-NL"/>
        </w:rPr>
        <w:t xml:space="preserve"> een screening op HBV te worden uitgevoerd. Bij patiënten met bewijs van seropositiviteit voor HBV dient gemonitord te worden op klinische en laboratoriumaanwijzingen van HBV-</w:t>
      </w:r>
      <w:proofErr w:type="spellStart"/>
      <w:r w:rsidRPr="00F2511B">
        <w:rPr>
          <w:rFonts w:ascii="Calibri" w:eastAsia="Calibri" w:hAnsi="Calibri" w:cs="Calibri"/>
          <w:lang w:val="nl-NL"/>
        </w:rPr>
        <w:t>reactivatie</w:t>
      </w:r>
      <w:proofErr w:type="spellEnd"/>
      <w:r w:rsidRPr="00F2511B">
        <w:rPr>
          <w:rFonts w:ascii="Calibri" w:eastAsia="Calibri" w:hAnsi="Calibri" w:cs="Calibri"/>
          <w:lang w:val="nl-NL"/>
        </w:rPr>
        <w:t xml:space="preserve"> gedurende de behandeling en gedurende minstens zes maanden na het eind van de behandeling met </w:t>
      </w:r>
      <w:r w:rsidR="00CC459F">
        <w:rPr>
          <w:rFonts w:ascii="Calibri" w:eastAsia="Calibri" w:hAnsi="Calibri" w:cs="Calibri"/>
          <w:lang w:val="nl-NL"/>
        </w:rPr>
        <w:t>daratumumab SC</w:t>
      </w:r>
      <w:r w:rsidRPr="00F2511B">
        <w:rPr>
          <w:rFonts w:ascii="Calibri" w:eastAsia="Calibri" w:hAnsi="Calibri" w:cs="Calibri"/>
          <w:lang w:val="nl-NL"/>
        </w:rPr>
        <w:t>. Behandel patiënten in overeenstemming met de geldende klinische richtlijnen. Overweeg consultatie van een hepatitisdeskundige wanneer klinisch geïndiceerd. Bij patiënten bij wie zich HBV-</w:t>
      </w:r>
      <w:proofErr w:type="spellStart"/>
      <w:r w:rsidRPr="00F2511B">
        <w:rPr>
          <w:rFonts w:ascii="Calibri" w:eastAsia="Calibri" w:hAnsi="Calibri" w:cs="Calibri"/>
          <w:lang w:val="nl-NL"/>
        </w:rPr>
        <w:t>reactivatie</w:t>
      </w:r>
      <w:proofErr w:type="spellEnd"/>
      <w:r w:rsidRPr="00F2511B">
        <w:rPr>
          <w:rFonts w:ascii="Calibri" w:eastAsia="Calibri" w:hAnsi="Calibri" w:cs="Calibri"/>
          <w:lang w:val="nl-NL"/>
        </w:rPr>
        <w:t xml:space="preserve"> ontwikkelt tijdens hun behandeling met </w:t>
      </w:r>
      <w:r w:rsidR="00CC459F">
        <w:rPr>
          <w:rFonts w:ascii="Calibri" w:eastAsia="Calibri" w:hAnsi="Calibri" w:cs="Calibri"/>
          <w:lang w:val="nl-NL"/>
        </w:rPr>
        <w:t>daratumumab SC</w:t>
      </w:r>
      <w:r w:rsidRPr="00F2511B">
        <w:rPr>
          <w:rFonts w:ascii="Calibri" w:eastAsia="Calibri" w:hAnsi="Calibri" w:cs="Calibri"/>
          <w:lang w:val="nl-NL"/>
        </w:rPr>
        <w:t xml:space="preserve"> dient de behandeling met </w:t>
      </w:r>
      <w:r w:rsidR="00CC459F">
        <w:rPr>
          <w:rFonts w:ascii="Calibri" w:eastAsia="Calibri" w:hAnsi="Calibri" w:cs="Calibri"/>
          <w:lang w:val="nl-NL"/>
        </w:rPr>
        <w:t>daratumumab SC</w:t>
      </w:r>
      <w:r w:rsidRPr="00F2511B">
        <w:rPr>
          <w:rFonts w:ascii="Calibri" w:eastAsia="Calibri" w:hAnsi="Calibri" w:cs="Calibri"/>
          <w:lang w:val="nl-NL"/>
        </w:rPr>
        <w:t xml:space="preserve"> te worden stopgezet en gepaste behandeling te worden opgestart. Hervatting van de behandeling met </w:t>
      </w:r>
      <w:r w:rsidR="00CC459F">
        <w:rPr>
          <w:rFonts w:ascii="Calibri" w:eastAsia="Calibri" w:hAnsi="Calibri" w:cs="Calibri"/>
          <w:lang w:val="nl-NL"/>
        </w:rPr>
        <w:t>daratumumab SC</w:t>
      </w:r>
      <w:r w:rsidRPr="00F2511B">
        <w:rPr>
          <w:rFonts w:ascii="Calibri" w:eastAsia="Calibri" w:hAnsi="Calibri" w:cs="Calibri"/>
          <w:lang w:val="nl-NL"/>
        </w:rPr>
        <w:t xml:space="preserve"> bij patiënten bij wie de HBV-</w:t>
      </w:r>
      <w:proofErr w:type="spellStart"/>
      <w:r w:rsidRPr="00F2511B">
        <w:rPr>
          <w:rFonts w:ascii="Calibri" w:eastAsia="Calibri" w:hAnsi="Calibri" w:cs="Calibri"/>
          <w:lang w:val="nl-NL"/>
        </w:rPr>
        <w:t>reactivatie</w:t>
      </w:r>
      <w:proofErr w:type="spellEnd"/>
      <w:r w:rsidRPr="00F2511B">
        <w:rPr>
          <w:rFonts w:ascii="Calibri" w:eastAsia="Calibri" w:hAnsi="Calibri" w:cs="Calibri"/>
          <w:lang w:val="nl-NL"/>
        </w:rPr>
        <w:t xml:space="preserve"> voldoende onder controle is, dient te worden besproken met artsen met deskundigheid op het gebied van behandeling van HBV. </w:t>
      </w:r>
    </w:p>
    <w:p w14:paraId="7EB9B6C4" w14:textId="77777777" w:rsidR="00F2511B" w:rsidRPr="00F2511B" w:rsidRDefault="00F2511B" w:rsidP="00F2511B">
      <w:pPr>
        <w:pStyle w:val="ListParagraph"/>
        <w:spacing w:line="240" w:lineRule="auto"/>
        <w:ind w:left="1416"/>
        <w:rPr>
          <w:rFonts w:ascii="Calibri" w:eastAsia="Calibri" w:hAnsi="Calibri" w:cs="Calibri"/>
          <w:lang w:val="nl-NL"/>
        </w:rPr>
      </w:pPr>
    </w:p>
    <w:p w14:paraId="3AB45FB2" w14:textId="77777777" w:rsidR="00CC459F" w:rsidRPr="00CC459F" w:rsidRDefault="00F2511B" w:rsidP="00F2511B">
      <w:pPr>
        <w:pStyle w:val="ListParagraph"/>
        <w:spacing w:line="240" w:lineRule="auto"/>
        <w:ind w:left="1416"/>
        <w:rPr>
          <w:rFonts w:ascii="Calibri" w:eastAsia="Calibri" w:hAnsi="Calibri" w:cs="Calibri"/>
          <w:i/>
          <w:iCs/>
          <w:lang w:val="nl-NL"/>
        </w:rPr>
      </w:pPr>
      <w:r w:rsidRPr="00CC459F">
        <w:rPr>
          <w:rFonts w:ascii="Calibri" w:eastAsia="Calibri" w:hAnsi="Calibri" w:cs="Calibri"/>
          <w:i/>
          <w:iCs/>
          <w:lang w:val="nl-NL"/>
        </w:rPr>
        <w:t xml:space="preserve">Lichaamsgewicht (&gt;120 kg) </w:t>
      </w:r>
    </w:p>
    <w:p w14:paraId="01D7A17C" w14:textId="7278656A" w:rsidR="00F2511B" w:rsidRPr="00F2511B" w:rsidRDefault="00F2511B" w:rsidP="00F2511B">
      <w:pPr>
        <w:pStyle w:val="ListParagraph"/>
        <w:spacing w:line="240" w:lineRule="auto"/>
        <w:ind w:left="1416"/>
        <w:rPr>
          <w:rFonts w:ascii="Calibri" w:eastAsia="Calibri" w:hAnsi="Calibri" w:cs="Calibri"/>
          <w:lang w:val="nl-NL"/>
        </w:rPr>
      </w:pPr>
      <w:r w:rsidRPr="00F2511B">
        <w:rPr>
          <w:rFonts w:ascii="Calibri" w:eastAsia="Calibri" w:hAnsi="Calibri" w:cs="Calibri"/>
          <w:lang w:val="nl-NL"/>
        </w:rPr>
        <w:t xml:space="preserve">De werkzaamheid van </w:t>
      </w:r>
      <w:r w:rsidR="00CC459F">
        <w:rPr>
          <w:rFonts w:ascii="Calibri" w:eastAsia="Calibri" w:hAnsi="Calibri" w:cs="Calibri"/>
          <w:lang w:val="nl-NL"/>
        </w:rPr>
        <w:t>daratumumab SC</w:t>
      </w:r>
      <w:r w:rsidRPr="00F2511B">
        <w:rPr>
          <w:rFonts w:ascii="Calibri" w:eastAsia="Calibri" w:hAnsi="Calibri" w:cs="Calibri"/>
          <w:lang w:val="nl-NL"/>
        </w:rPr>
        <w:t xml:space="preserve"> is mogelijk verminderd bij patiënten met een lichaamsgewicht &gt;120 kg (zie rubriek 4.2 en 5.2 van de </w:t>
      </w:r>
      <w:r w:rsidR="00CC459F">
        <w:rPr>
          <w:rFonts w:ascii="Calibri" w:eastAsia="Calibri" w:hAnsi="Calibri" w:cs="Calibri"/>
          <w:lang w:val="nl-NL"/>
        </w:rPr>
        <w:t>SmP</w:t>
      </w:r>
      <w:r w:rsidRPr="00F2511B">
        <w:rPr>
          <w:rFonts w:ascii="Calibri" w:eastAsia="Calibri" w:hAnsi="Calibri" w:cs="Calibri"/>
          <w:lang w:val="nl-NL"/>
        </w:rPr>
        <w:t>C</w:t>
      </w:r>
      <w:r w:rsidR="00CC459F" w:rsidRPr="00CC459F">
        <w:rPr>
          <w:rFonts w:ascii="Calibri" w:eastAsia="Calibri" w:hAnsi="Calibri" w:cs="Calibri"/>
          <w:vertAlign w:val="superscript"/>
          <w:lang w:val="nl-NL"/>
        </w:rPr>
        <w:t>1</w:t>
      </w:r>
      <w:r w:rsidRPr="00F2511B">
        <w:rPr>
          <w:rFonts w:ascii="Calibri" w:eastAsia="Calibri" w:hAnsi="Calibri" w:cs="Calibri"/>
          <w:lang w:val="nl-NL"/>
        </w:rPr>
        <w:t>).</w:t>
      </w:r>
    </w:p>
    <w:p w14:paraId="489FFA3F" w14:textId="4948F75A" w:rsidR="00633488" w:rsidRPr="00633488" w:rsidRDefault="00633488" w:rsidP="00633488">
      <w:pPr>
        <w:pStyle w:val="NoSpacing"/>
        <w:numPr>
          <w:ilvl w:val="1"/>
          <w:numId w:val="2"/>
        </w:numPr>
        <w:rPr>
          <w:color w:val="002060"/>
          <w:sz w:val="24"/>
          <w:szCs w:val="24"/>
          <w:u w:val="single"/>
          <w:lang w:val="nl-NL"/>
        </w:rPr>
      </w:pPr>
      <w:r w:rsidRPr="00633488">
        <w:rPr>
          <w:color w:val="002060"/>
          <w:sz w:val="24"/>
          <w:szCs w:val="24"/>
          <w:u w:val="single"/>
          <w:lang w:val="nl-NL"/>
        </w:rPr>
        <w:t xml:space="preserve">Tijdens toediening </w:t>
      </w:r>
    </w:p>
    <w:p w14:paraId="0B32CFD2" w14:textId="0BF1428D" w:rsidR="00CC459F" w:rsidRPr="005B662A" w:rsidRDefault="00CC459F" w:rsidP="00CC459F">
      <w:pPr>
        <w:pStyle w:val="NoSpacing"/>
        <w:ind w:left="1416"/>
        <w:rPr>
          <w:lang w:val="nl-NL"/>
        </w:rPr>
      </w:pPr>
      <w:r w:rsidRPr="005B662A">
        <w:rPr>
          <w:lang w:val="nl-NL"/>
        </w:rPr>
        <w:t xml:space="preserve">De aanbevolen dosis van </w:t>
      </w:r>
      <w:r>
        <w:rPr>
          <w:lang w:val="nl-NL"/>
        </w:rPr>
        <w:t>daratumumab SC</w:t>
      </w:r>
      <w:r w:rsidRPr="005B662A">
        <w:rPr>
          <w:lang w:val="nl-NL"/>
        </w:rPr>
        <w:t xml:space="preserve"> is 1800 mg, toegediend in ongeveer 3-5 minuten</w:t>
      </w:r>
    </w:p>
    <w:p w14:paraId="375B53FA" w14:textId="77777777" w:rsidR="00CC459F" w:rsidRPr="005B662A" w:rsidRDefault="00CC459F" w:rsidP="00CC459F">
      <w:pPr>
        <w:pStyle w:val="NoSpacing"/>
        <w:ind w:left="720"/>
        <w:rPr>
          <w:lang w:val="nl-NL"/>
        </w:rPr>
      </w:pPr>
    </w:p>
    <w:p w14:paraId="36476F43" w14:textId="77777777" w:rsidR="00CC459F" w:rsidRPr="00CC459F" w:rsidRDefault="00CC459F" w:rsidP="00CC459F">
      <w:pPr>
        <w:pStyle w:val="NoSpacing"/>
        <w:ind w:left="1416"/>
        <w:rPr>
          <w:i/>
          <w:iCs/>
          <w:lang w:val="nl-NL"/>
        </w:rPr>
      </w:pPr>
      <w:r w:rsidRPr="00CC459F">
        <w:rPr>
          <w:i/>
          <w:iCs/>
          <w:lang w:val="nl-NL"/>
        </w:rPr>
        <w:t xml:space="preserve">Gemiste dosis </w:t>
      </w:r>
    </w:p>
    <w:p w14:paraId="45B1697F" w14:textId="5CFD4B39" w:rsidR="00CC459F" w:rsidRPr="005B662A" w:rsidRDefault="00CC459F" w:rsidP="00CC459F">
      <w:pPr>
        <w:pStyle w:val="NoSpacing"/>
        <w:ind w:left="1416"/>
        <w:rPr>
          <w:lang w:val="nl-NL"/>
        </w:rPr>
      </w:pPr>
      <w:proofErr w:type="gramStart"/>
      <w:r w:rsidRPr="005B662A">
        <w:rPr>
          <w:lang w:val="nl-NL"/>
        </w:rPr>
        <w:t>Indien</w:t>
      </w:r>
      <w:proofErr w:type="gramEnd"/>
      <w:r w:rsidRPr="005B662A">
        <w:rPr>
          <w:lang w:val="nl-NL"/>
        </w:rPr>
        <w:t xml:space="preserve"> een geplande dosis </w:t>
      </w:r>
      <w:r>
        <w:rPr>
          <w:lang w:val="nl-NL"/>
        </w:rPr>
        <w:t>daratumumab SC</w:t>
      </w:r>
      <w:r w:rsidRPr="005B662A">
        <w:rPr>
          <w:lang w:val="nl-NL"/>
        </w:rPr>
        <w:t xml:space="preserve"> werd overgeslagen, moet de dosis zo snel mogelijk worden toegediend en het behandelschema in overeenstemming daarmee worden aangepast, met behoud van het behandelingsinterval.</w:t>
      </w:r>
    </w:p>
    <w:p w14:paraId="42291882" w14:textId="77777777" w:rsidR="00CC459F" w:rsidRPr="005B662A" w:rsidRDefault="00CC459F" w:rsidP="00CC459F">
      <w:pPr>
        <w:pStyle w:val="NoSpacing"/>
        <w:ind w:left="720"/>
        <w:rPr>
          <w:lang w:val="nl-NL"/>
        </w:rPr>
      </w:pPr>
    </w:p>
    <w:p w14:paraId="3D9E183B" w14:textId="1293263B" w:rsidR="00CC459F" w:rsidRPr="005B662A" w:rsidRDefault="00CC459F" w:rsidP="00CC459F">
      <w:pPr>
        <w:pStyle w:val="NoSpacing"/>
        <w:ind w:left="1416"/>
        <w:rPr>
          <w:lang w:val="nl-NL"/>
        </w:rPr>
      </w:pPr>
      <w:r>
        <w:rPr>
          <w:lang w:val="nl-NL"/>
        </w:rPr>
        <w:t>Daratumumab SC</w:t>
      </w:r>
      <w:r w:rsidRPr="005B662A">
        <w:rPr>
          <w:lang w:val="nl-NL"/>
        </w:rPr>
        <w:t xml:space="preserve"> mag nooit worden geïnjecteerd in gebieden waar de huid rood, gekneusd, gevoelig of hard is of in gebieden met een litteken. Onderbreek of vertraag de afgifte als de patiënt pijn ervaart. In het geval dat de pijn niet wordt </w:t>
      </w:r>
      <w:r w:rsidRPr="005B662A">
        <w:rPr>
          <w:lang w:val="nl-NL"/>
        </w:rPr>
        <w:lastRenderedPageBreak/>
        <w:t>verlicht door de injectie te vertragen, kan voor afgifte van de resterende dosis een tweede injectieplaats worden gekozen aan de andere kant van het abdomen.</w:t>
      </w:r>
    </w:p>
    <w:p w14:paraId="75146393" w14:textId="77777777" w:rsidR="00CC459F" w:rsidRPr="005B662A" w:rsidRDefault="00CC459F" w:rsidP="00CC459F">
      <w:pPr>
        <w:pStyle w:val="NoSpacing"/>
        <w:ind w:left="720"/>
        <w:rPr>
          <w:lang w:val="nl-NL"/>
        </w:rPr>
      </w:pPr>
    </w:p>
    <w:p w14:paraId="2A3CFDEF" w14:textId="54703D5E" w:rsidR="00CC459F" w:rsidRPr="005B662A" w:rsidRDefault="00CC459F" w:rsidP="00CC459F">
      <w:pPr>
        <w:pStyle w:val="NoSpacing"/>
        <w:ind w:left="1416"/>
        <w:rPr>
          <w:lang w:val="nl-NL"/>
        </w:rPr>
      </w:pPr>
      <w:r w:rsidRPr="005B662A">
        <w:rPr>
          <w:lang w:val="nl-NL"/>
        </w:rPr>
        <w:t xml:space="preserve">Wrijf niet over de injectieplaats. Bij de achtereenvolgende </w:t>
      </w:r>
      <w:r>
        <w:rPr>
          <w:lang w:val="nl-NL"/>
        </w:rPr>
        <w:t>d</w:t>
      </w:r>
      <w:r w:rsidRPr="005B662A">
        <w:rPr>
          <w:lang w:val="nl-NL"/>
        </w:rPr>
        <w:t xml:space="preserve">aratumumab </w:t>
      </w:r>
      <w:r>
        <w:rPr>
          <w:lang w:val="nl-NL"/>
        </w:rPr>
        <w:t>SC</w:t>
      </w:r>
      <w:r w:rsidRPr="005B662A">
        <w:rPr>
          <w:lang w:val="nl-NL"/>
        </w:rPr>
        <w:t xml:space="preserve"> injecties dient de injectieplaats afgewisseld te worden.</w:t>
      </w:r>
    </w:p>
    <w:p w14:paraId="00E6734C" w14:textId="0658D674" w:rsidR="00CC459F" w:rsidRPr="005B662A" w:rsidRDefault="00CC459F" w:rsidP="00CC459F">
      <w:pPr>
        <w:pStyle w:val="NoSpacing"/>
        <w:ind w:left="1416"/>
        <w:rPr>
          <w:lang w:val="nl-NL"/>
        </w:rPr>
      </w:pPr>
      <w:r w:rsidRPr="005B662A">
        <w:rPr>
          <w:lang w:val="nl-NL"/>
        </w:rPr>
        <w:t xml:space="preserve">Dien tijdens behandeling met </w:t>
      </w:r>
      <w:r>
        <w:rPr>
          <w:lang w:val="nl-NL"/>
        </w:rPr>
        <w:t>daratumumab SC</w:t>
      </w:r>
      <w:r w:rsidRPr="005B662A">
        <w:rPr>
          <w:lang w:val="nl-NL"/>
        </w:rPr>
        <w:t xml:space="preserve"> geen andere geneesmiddelen voor subcutaan gebruik toe op dezelfde plaats als </w:t>
      </w:r>
      <w:r>
        <w:rPr>
          <w:lang w:val="nl-NL"/>
        </w:rPr>
        <w:t>daratumumab SC.</w:t>
      </w:r>
    </w:p>
    <w:p w14:paraId="23E1EA4D" w14:textId="77777777" w:rsidR="00CC459F" w:rsidRPr="005B662A" w:rsidRDefault="00CC459F" w:rsidP="00CC459F">
      <w:pPr>
        <w:pStyle w:val="NoSpacing"/>
        <w:ind w:left="720"/>
        <w:rPr>
          <w:lang w:val="nl-NL"/>
        </w:rPr>
      </w:pPr>
    </w:p>
    <w:p w14:paraId="2CE64E96" w14:textId="77777777" w:rsidR="00CC459F" w:rsidRPr="00CC459F" w:rsidRDefault="00CC459F" w:rsidP="00CC459F">
      <w:pPr>
        <w:pStyle w:val="NoSpacing"/>
        <w:ind w:left="1428"/>
        <w:rPr>
          <w:i/>
          <w:iCs/>
          <w:lang w:val="nl-NL"/>
        </w:rPr>
      </w:pPr>
      <w:r w:rsidRPr="00CC459F">
        <w:rPr>
          <w:i/>
          <w:iCs/>
          <w:lang w:val="nl-NL"/>
        </w:rPr>
        <w:t>Aanpassingen van de dosis.</w:t>
      </w:r>
    </w:p>
    <w:p w14:paraId="1A61A1D4" w14:textId="3631F5F0" w:rsidR="00CC459F" w:rsidRDefault="00CC459F" w:rsidP="00CC459F">
      <w:pPr>
        <w:pStyle w:val="NoSpacing"/>
        <w:ind w:left="1416"/>
        <w:rPr>
          <w:lang w:val="nl-NL"/>
        </w:rPr>
      </w:pPr>
      <w:r w:rsidRPr="00AD4270">
        <w:rPr>
          <w:u w:val="single"/>
          <w:lang w:val="nl-NL"/>
        </w:rPr>
        <w:t xml:space="preserve">Het wordt afgeraden de dosis van </w:t>
      </w:r>
      <w:r>
        <w:rPr>
          <w:u w:val="single"/>
          <w:lang w:val="nl-NL"/>
        </w:rPr>
        <w:t>daratumumab SC</w:t>
      </w:r>
      <w:r w:rsidRPr="00AD4270">
        <w:rPr>
          <w:u w:val="single"/>
          <w:lang w:val="nl-NL"/>
        </w:rPr>
        <w:t xml:space="preserve"> te verlagen</w:t>
      </w:r>
      <w:r w:rsidRPr="005B662A">
        <w:rPr>
          <w:lang w:val="nl-NL"/>
        </w:rPr>
        <w:t>. Bij hematologische toxiciteit kan het nodig zijn om de toediening op te schorten, zodat de bloedcelaantallen zich kunnen herstellen (zie rubriek 4.4 S</w:t>
      </w:r>
      <w:r>
        <w:rPr>
          <w:lang w:val="nl-NL"/>
        </w:rPr>
        <w:t>mPC</w:t>
      </w:r>
      <w:r w:rsidRPr="00CC459F">
        <w:rPr>
          <w:vertAlign w:val="superscript"/>
          <w:lang w:val="nl-NL"/>
        </w:rPr>
        <w:t>1</w:t>
      </w:r>
      <w:r w:rsidRPr="005B662A">
        <w:rPr>
          <w:lang w:val="nl-NL"/>
        </w:rPr>
        <w:t xml:space="preserve">). </w:t>
      </w:r>
    </w:p>
    <w:p w14:paraId="2E8A0F3B" w14:textId="77777777" w:rsidR="00CC459F" w:rsidRPr="00CC459F" w:rsidRDefault="00CC459F" w:rsidP="00CC459F">
      <w:pPr>
        <w:pStyle w:val="NoSpacing"/>
        <w:ind w:left="720"/>
        <w:rPr>
          <w:i/>
          <w:iCs/>
          <w:lang w:val="nl-NL"/>
        </w:rPr>
      </w:pPr>
    </w:p>
    <w:p w14:paraId="01771807" w14:textId="4E3B3D8A" w:rsidR="00CC459F" w:rsidRPr="00CC459F" w:rsidRDefault="00CC459F" w:rsidP="00CC459F">
      <w:pPr>
        <w:pStyle w:val="paragraph"/>
        <w:spacing w:before="0" w:beforeAutospacing="0" w:after="0" w:afterAutospacing="0"/>
        <w:ind w:left="720" w:firstLine="696"/>
        <w:rPr>
          <w:rFonts w:asciiTheme="minorHAnsi" w:hAnsiTheme="minorHAnsi" w:cstheme="minorHAnsi"/>
          <w:i/>
          <w:iCs/>
          <w:sz w:val="22"/>
          <w:szCs w:val="22"/>
        </w:rPr>
      </w:pPr>
      <w:r w:rsidRPr="00CC459F">
        <w:rPr>
          <w:rFonts w:asciiTheme="minorHAnsi" w:hAnsiTheme="minorHAnsi" w:cstheme="minorHAnsi"/>
          <w:i/>
          <w:iCs/>
          <w:sz w:val="22"/>
          <w:szCs w:val="22"/>
        </w:rPr>
        <w:t>Leeftijd en co-morbiditeit aangepaste dosering</w:t>
      </w:r>
      <w:r w:rsidRPr="00CC459F">
        <w:rPr>
          <w:rFonts w:asciiTheme="minorHAnsi" w:hAnsiTheme="minorHAnsi" w:cstheme="minorHAnsi"/>
          <w:i/>
          <w:iCs/>
          <w:sz w:val="22"/>
          <w:szCs w:val="22"/>
          <w:vertAlign w:val="superscript"/>
        </w:rPr>
        <w:t>5</w:t>
      </w:r>
    </w:p>
    <w:tbl>
      <w:tblPr>
        <w:tblStyle w:val="TableGrid"/>
        <w:tblW w:w="0" w:type="auto"/>
        <w:tblInd w:w="1440" w:type="dxa"/>
        <w:tblLook w:val="04A0" w:firstRow="1" w:lastRow="0" w:firstColumn="1" w:lastColumn="0" w:noHBand="0" w:noVBand="1"/>
      </w:tblPr>
      <w:tblGrid>
        <w:gridCol w:w="2046"/>
        <w:gridCol w:w="1471"/>
        <w:gridCol w:w="2059"/>
        <w:gridCol w:w="2000"/>
      </w:tblGrid>
      <w:tr w:rsidR="000F64A8" w:rsidRPr="00594028" w14:paraId="14A09BD0" w14:textId="77777777" w:rsidTr="000760BB">
        <w:tc>
          <w:tcPr>
            <w:tcW w:w="2046" w:type="dxa"/>
            <w:vAlign w:val="center"/>
          </w:tcPr>
          <w:p w14:paraId="683DA5F2"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p>
        </w:tc>
        <w:tc>
          <w:tcPr>
            <w:tcW w:w="1471" w:type="dxa"/>
            <w:vAlign w:val="center"/>
          </w:tcPr>
          <w:p w14:paraId="2014114E"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r w:rsidRPr="000F64A8">
              <w:rPr>
                <w:rFonts w:asciiTheme="minorHAnsi" w:hAnsiTheme="minorHAnsi" w:cstheme="minorHAnsi"/>
                <w:sz w:val="22"/>
                <w:szCs w:val="22"/>
              </w:rPr>
              <w:t>&lt; 65 jaar</w:t>
            </w:r>
          </w:p>
        </w:tc>
        <w:tc>
          <w:tcPr>
            <w:tcW w:w="2059" w:type="dxa"/>
            <w:vAlign w:val="center"/>
          </w:tcPr>
          <w:p w14:paraId="3CE88F63"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r w:rsidRPr="000F64A8">
              <w:rPr>
                <w:rFonts w:asciiTheme="minorHAnsi" w:hAnsiTheme="minorHAnsi" w:cstheme="minorHAnsi"/>
                <w:sz w:val="22"/>
                <w:szCs w:val="22"/>
              </w:rPr>
              <w:t>65-75 jaar</w:t>
            </w:r>
          </w:p>
        </w:tc>
        <w:tc>
          <w:tcPr>
            <w:tcW w:w="2000" w:type="dxa"/>
            <w:vAlign w:val="center"/>
          </w:tcPr>
          <w:p w14:paraId="40D1AFB1"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r w:rsidRPr="000F64A8">
              <w:rPr>
                <w:rFonts w:asciiTheme="minorHAnsi" w:hAnsiTheme="minorHAnsi" w:cstheme="minorHAnsi"/>
                <w:sz w:val="22"/>
                <w:szCs w:val="22"/>
              </w:rPr>
              <w:t xml:space="preserve">&gt; 75 jaar of </w:t>
            </w:r>
          </w:p>
          <w:p w14:paraId="474DF443"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r w:rsidRPr="000F64A8">
              <w:rPr>
                <w:rFonts w:asciiTheme="minorHAnsi" w:hAnsiTheme="minorHAnsi" w:cstheme="minorHAnsi"/>
                <w:sz w:val="22"/>
                <w:szCs w:val="22"/>
              </w:rPr>
              <w:t xml:space="preserve">65-75 jaar met </w:t>
            </w:r>
            <w:proofErr w:type="spellStart"/>
            <w:r w:rsidRPr="000F64A8">
              <w:rPr>
                <w:rFonts w:asciiTheme="minorHAnsi" w:hAnsiTheme="minorHAnsi" w:cstheme="minorHAnsi"/>
                <w:sz w:val="22"/>
                <w:szCs w:val="22"/>
              </w:rPr>
              <w:t>comorbiditeit</w:t>
            </w:r>
            <w:proofErr w:type="spellEnd"/>
          </w:p>
        </w:tc>
      </w:tr>
      <w:tr w:rsidR="000F64A8" w14:paraId="1E2EB31F" w14:textId="77777777" w:rsidTr="000760BB">
        <w:tc>
          <w:tcPr>
            <w:tcW w:w="2046" w:type="dxa"/>
            <w:vAlign w:val="center"/>
          </w:tcPr>
          <w:p w14:paraId="70863C7F"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r w:rsidRPr="000F64A8">
              <w:rPr>
                <w:rFonts w:asciiTheme="minorHAnsi" w:hAnsiTheme="minorHAnsi" w:cstheme="minorHAnsi"/>
                <w:sz w:val="22"/>
                <w:szCs w:val="22"/>
              </w:rPr>
              <w:t>Dexamethason</w:t>
            </w:r>
          </w:p>
        </w:tc>
        <w:tc>
          <w:tcPr>
            <w:tcW w:w="1471" w:type="dxa"/>
            <w:vAlign w:val="center"/>
          </w:tcPr>
          <w:p w14:paraId="68CBCE58"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p>
        </w:tc>
        <w:tc>
          <w:tcPr>
            <w:tcW w:w="2059" w:type="dxa"/>
            <w:vAlign w:val="center"/>
          </w:tcPr>
          <w:p w14:paraId="6DB7E9B2"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r w:rsidRPr="000F64A8">
              <w:rPr>
                <w:rFonts w:asciiTheme="minorHAnsi" w:hAnsiTheme="minorHAnsi" w:cstheme="minorHAnsi"/>
                <w:sz w:val="22"/>
                <w:szCs w:val="22"/>
              </w:rPr>
              <w:t>(</w:t>
            </w:r>
            <w:proofErr w:type="gramStart"/>
            <w:r w:rsidRPr="000F64A8">
              <w:rPr>
                <w:rFonts w:asciiTheme="minorHAnsi" w:hAnsiTheme="minorHAnsi" w:cstheme="minorHAnsi"/>
                <w:sz w:val="22"/>
                <w:szCs w:val="22"/>
              </w:rPr>
              <w:t>dosering</w:t>
            </w:r>
            <w:proofErr w:type="gramEnd"/>
            <w:r w:rsidRPr="000F64A8">
              <w:rPr>
                <w:rFonts w:asciiTheme="minorHAnsi" w:hAnsiTheme="minorHAnsi" w:cstheme="minorHAnsi"/>
                <w:sz w:val="22"/>
                <w:szCs w:val="22"/>
              </w:rPr>
              <w:t xml:space="preserve"> halveren op indicatie)</w:t>
            </w:r>
          </w:p>
        </w:tc>
        <w:tc>
          <w:tcPr>
            <w:tcW w:w="2000" w:type="dxa"/>
            <w:vAlign w:val="center"/>
          </w:tcPr>
          <w:p w14:paraId="438D48CD" w14:textId="77777777" w:rsidR="000F64A8" w:rsidRPr="000F64A8" w:rsidRDefault="000F64A8" w:rsidP="00FF51DC">
            <w:pPr>
              <w:pStyle w:val="paragraph"/>
              <w:spacing w:before="0" w:beforeAutospacing="0" w:after="0" w:afterAutospacing="0"/>
              <w:rPr>
                <w:rFonts w:asciiTheme="minorHAnsi" w:hAnsiTheme="minorHAnsi" w:cstheme="minorHAnsi"/>
                <w:sz w:val="22"/>
                <w:szCs w:val="22"/>
              </w:rPr>
            </w:pPr>
            <w:proofErr w:type="gramStart"/>
            <w:r w:rsidRPr="000F64A8">
              <w:rPr>
                <w:rFonts w:asciiTheme="minorHAnsi" w:hAnsiTheme="minorHAnsi" w:cstheme="minorHAnsi"/>
                <w:sz w:val="22"/>
                <w:szCs w:val="22"/>
              </w:rPr>
              <w:t>dosering</w:t>
            </w:r>
            <w:proofErr w:type="gramEnd"/>
            <w:r w:rsidRPr="000F64A8">
              <w:rPr>
                <w:rFonts w:asciiTheme="minorHAnsi" w:hAnsiTheme="minorHAnsi" w:cstheme="minorHAnsi"/>
                <w:sz w:val="22"/>
                <w:szCs w:val="22"/>
              </w:rPr>
              <w:t xml:space="preserve"> halveren</w:t>
            </w:r>
          </w:p>
        </w:tc>
      </w:tr>
      <w:tr w:rsidR="007706C9" w14:paraId="6D2FE643" w14:textId="77777777" w:rsidTr="007706C9">
        <w:tc>
          <w:tcPr>
            <w:tcW w:w="2046" w:type="dxa"/>
            <w:vAlign w:val="center"/>
          </w:tcPr>
          <w:p w14:paraId="009A6D27" w14:textId="68EDEA71" w:rsidR="007706C9" w:rsidRPr="000F64A8" w:rsidRDefault="007706C9" w:rsidP="00FF51DC">
            <w:pPr>
              <w:pStyle w:val="paragraph"/>
              <w:spacing w:before="0" w:beforeAutospacing="0" w:after="0" w:afterAutospacing="0"/>
              <w:rPr>
                <w:rFonts w:asciiTheme="minorHAnsi" w:hAnsiTheme="minorHAnsi" w:cstheme="minorHAnsi"/>
                <w:sz w:val="22"/>
                <w:szCs w:val="22"/>
              </w:rPr>
            </w:pPr>
            <w:proofErr w:type="spellStart"/>
            <w:r>
              <w:rPr>
                <w:rFonts w:asciiTheme="minorHAnsi" w:hAnsiTheme="minorHAnsi" w:cstheme="minorHAnsi"/>
                <w:sz w:val="22"/>
                <w:szCs w:val="22"/>
              </w:rPr>
              <w:t>Pomalidomide</w:t>
            </w:r>
            <w:proofErr w:type="spellEnd"/>
          </w:p>
        </w:tc>
        <w:tc>
          <w:tcPr>
            <w:tcW w:w="5530" w:type="dxa"/>
            <w:gridSpan w:val="3"/>
            <w:vAlign w:val="center"/>
          </w:tcPr>
          <w:p w14:paraId="071FE20E" w14:textId="0564A5B2" w:rsidR="007706C9" w:rsidRPr="000F64A8" w:rsidRDefault="007706C9" w:rsidP="00FF51DC">
            <w:pPr>
              <w:pStyle w:val="paragraph"/>
              <w:spacing w:before="0" w:beforeAutospacing="0" w:after="0" w:afterAutospacing="0"/>
              <w:rPr>
                <w:rFonts w:asciiTheme="minorHAnsi" w:hAnsiTheme="minorHAnsi" w:cstheme="minorHAnsi"/>
                <w:sz w:val="22"/>
                <w:szCs w:val="22"/>
              </w:rPr>
            </w:pPr>
            <w:r w:rsidRPr="00624A0D">
              <w:rPr>
                <w:rFonts w:asciiTheme="minorHAnsi" w:hAnsiTheme="minorHAnsi" w:cstheme="minorHAnsi"/>
                <w:sz w:val="22"/>
                <w:szCs w:val="22"/>
              </w:rPr>
              <w:t>Geen specifieke aanbevelingen voor aangepaste dosering bij leeftijdscategorieën, wel “</w:t>
            </w:r>
            <w:proofErr w:type="spellStart"/>
            <w:r w:rsidRPr="00624A0D">
              <w:rPr>
                <w:rFonts w:asciiTheme="minorHAnsi" w:hAnsiTheme="minorHAnsi" w:cstheme="minorHAnsi"/>
                <w:sz w:val="22"/>
                <w:szCs w:val="22"/>
              </w:rPr>
              <w:t>dose</w:t>
            </w:r>
            <w:proofErr w:type="spellEnd"/>
            <w:r w:rsidRPr="00624A0D">
              <w:rPr>
                <w:rFonts w:asciiTheme="minorHAnsi" w:hAnsiTheme="minorHAnsi" w:cstheme="minorHAnsi"/>
                <w:sz w:val="22"/>
                <w:szCs w:val="22"/>
              </w:rPr>
              <w:t xml:space="preserve"> level </w:t>
            </w:r>
            <w:proofErr w:type="spellStart"/>
            <w:r w:rsidRPr="00624A0D">
              <w:rPr>
                <w:rFonts w:asciiTheme="minorHAnsi" w:hAnsiTheme="minorHAnsi" w:cstheme="minorHAnsi"/>
                <w:sz w:val="22"/>
                <w:szCs w:val="22"/>
              </w:rPr>
              <w:t>reductions</w:t>
            </w:r>
            <w:proofErr w:type="spellEnd"/>
            <w:r w:rsidRPr="00624A0D">
              <w:rPr>
                <w:rFonts w:asciiTheme="minorHAnsi" w:hAnsiTheme="minorHAnsi" w:cstheme="minorHAnsi"/>
                <w:sz w:val="22"/>
                <w:szCs w:val="22"/>
              </w:rPr>
              <w:t>” bij toxiciteit (</w:t>
            </w:r>
            <w:r w:rsidR="000760BB">
              <w:rPr>
                <w:rFonts w:asciiTheme="minorHAnsi" w:hAnsiTheme="minorHAnsi" w:cstheme="minorHAnsi"/>
                <w:sz w:val="22"/>
                <w:szCs w:val="22"/>
              </w:rPr>
              <w:t xml:space="preserve">voor details zie </w:t>
            </w:r>
            <w:proofErr w:type="spellStart"/>
            <w:r w:rsidRPr="00624A0D">
              <w:rPr>
                <w:rFonts w:asciiTheme="minorHAnsi" w:hAnsiTheme="minorHAnsi" w:cstheme="minorHAnsi"/>
                <w:sz w:val="22"/>
                <w:szCs w:val="22"/>
              </w:rPr>
              <w:t>S</w:t>
            </w:r>
            <w:r>
              <w:rPr>
                <w:rFonts w:asciiTheme="minorHAnsi" w:hAnsiTheme="minorHAnsi" w:cstheme="minorHAnsi"/>
                <w:sz w:val="22"/>
                <w:szCs w:val="22"/>
              </w:rPr>
              <w:t>m</w:t>
            </w:r>
            <w:r w:rsidRPr="00624A0D">
              <w:rPr>
                <w:rFonts w:asciiTheme="minorHAnsi" w:hAnsiTheme="minorHAnsi" w:cstheme="minorHAnsi"/>
                <w:sz w:val="22"/>
                <w:szCs w:val="22"/>
              </w:rPr>
              <w:t>PC</w:t>
            </w:r>
            <w:proofErr w:type="spellEnd"/>
            <w:r w:rsidRPr="00624A0D">
              <w:rPr>
                <w:rFonts w:asciiTheme="minorHAnsi" w:hAnsiTheme="minorHAnsi" w:cstheme="minorHAnsi"/>
                <w:sz w:val="22"/>
                <w:szCs w:val="22"/>
              </w:rPr>
              <w:t xml:space="preserve"> </w:t>
            </w:r>
            <w:r>
              <w:rPr>
                <w:rFonts w:asciiTheme="minorHAnsi" w:hAnsiTheme="minorHAnsi" w:cstheme="minorHAnsi"/>
                <w:sz w:val="22"/>
                <w:szCs w:val="22"/>
              </w:rPr>
              <w:t>Imnovid</w:t>
            </w:r>
            <w:r w:rsidRPr="00624A0D">
              <w:rPr>
                <w:rFonts w:asciiTheme="minorHAnsi" w:hAnsiTheme="minorHAnsi" w:cstheme="minorHAnsi"/>
                <w:sz w:val="22"/>
                <w:szCs w:val="22"/>
                <w:vertAlign w:val="superscript"/>
              </w:rPr>
              <w:t>2</w:t>
            </w:r>
            <w:r w:rsidRPr="00624A0D">
              <w:rPr>
                <w:rFonts w:asciiTheme="minorHAnsi" w:hAnsiTheme="minorHAnsi" w:cstheme="minorHAnsi"/>
                <w:sz w:val="22"/>
                <w:szCs w:val="22"/>
              </w:rPr>
              <w:t>)</w:t>
            </w:r>
            <w:r>
              <w:rPr>
                <w:rFonts w:asciiTheme="minorHAnsi" w:hAnsiTheme="minorHAnsi" w:cstheme="minorHAnsi"/>
                <w:sz w:val="22"/>
                <w:szCs w:val="22"/>
              </w:rPr>
              <w:t>.</w:t>
            </w:r>
            <w:r w:rsidRPr="00624A0D">
              <w:rPr>
                <w:rFonts w:asciiTheme="minorHAnsi" w:hAnsiTheme="minorHAnsi" w:cstheme="minorHAnsi"/>
                <w:sz w:val="22"/>
                <w:szCs w:val="22"/>
                <w:vertAlign w:val="superscript"/>
              </w:rPr>
              <w:t>5</w:t>
            </w:r>
          </w:p>
        </w:tc>
      </w:tr>
    </w:tbl>
    <w:p w14:paraId="15E3DCEC" w14:textId="77777777" w:rsidR="006A598D" w:rsidRDefault="006A598D" w:rsidP="007706C9">
      <w:pPr>
        <w:pStyle w:val="NoSpacing"/>
        <w:rPr>
          <w:color w:val="002060"/>
          <w:sz w:val="24"/>
          <w:szCs w:val="24"/>
          <w:u w:val="single"/>
          <w:lang w:val="nl-NL"/>
        </w:rPr>
      </w:pPr>
    </w:p>
    <w:p w14:paraId="3C50226C" w14:textId="7B4B6162" w:rsidR="00633488" w:rsidRPr="00633488" w:rsidRDefault="00633488" w:rsidP="00633488">
      <w:pPr>
        <w:pStyle w:val="NoSpacing"/>
        <w:numPr>
          <w:ilvl w:val="1"/>
          <w:numId w:val="2"/>
        </w:numPr>
        <w:rPr>
          <w:color w:val="002060"/>
          <w:sz w:val="24"/>
          <w:szCs w:val="24"/>
          <w:u w:val="single"/>
          <w:lang w:val="nl-NL"/>
        </w:rPr>
      </w:pPr>
      <w:r w:rsidRPr="00633488">
        <w:rPr>
          <w:color w:val="002060"/>
          <w:sz w:val="24"/>
          <w:szCs w:val="24"/>
          <w:u w:val="single"/>
          <w:lang w:val="nl-NL"/>
        </w:rPr>
        <w:t xml:space="preserve">Na toediening </w:t>
      </w:r>
    </w:p>
    <w:p w14:paraId="619F0800" w14:textId="77777777" w:rsidR="006A598D" w:rsidRPr="009C62A2" w:rsidRDefault="006A598D" w:rsidP="006A598D">
      <w:pPr>
        <w:pStyle w:val="NoSpacing"/>
        <w:ind w:left="1416"/>
        <w:rPr>
          <w:lang w:val="nl-NL"/>
        </w:rPr>
      </w:pPr>
      <w:r w:rsidRPr="009C62A2">
        <w:rPr>
          <w:lang w:val="nl-NL"/>
        </w:rPr>
        <w:t>Al het ongebruikte geneesmiddel of afvalmateriaal dient te worden vernietigd overeenkomstig lokale voorschriften.</w:t>
      </w:r>
    </w:p>
    <w:p w14:paraId="2D02BFAB" w14:textId="77777777" w:rsidR="006A598D" w:rsidRPr="009C62A2" w:rsidRDefault="006A598D" w:rsidP="006A598D">
      <w:pPr>
        <w:pStyle w:val="NoSpacing"/>
        <w:ind w:left="1416"/>
        <w:rPr>
          <w:lang w:val="nl-NL"/>
        </w:rPr>
      </w:pPr>
    </w:p>
    <w:p w14:paraId="5D7FCA87" w14:textId="77777777" w:rsidR="006A598D" w:rsidRPr="009C62A2" w:rsidRDefault="006A598D" w:rsidP="006A598D">
      <w:pPr>
        <w:pStyle w:val="NoSpacing"/>
        <w:ind w:left="1416"/>
        <w:rPr>
          <w:lang w:val="nl-NL"/>
        </w:rPr>
      </w:pPr>
      <w:r w:rsidRPr="009C62A2">
        <w:rPr>
          <w:lang w:val="nl-NL"/>
        </w:rPr>
        <w:t>Als de patiënt na de eerste drie injecties geen belangrijke IRR’s ervaart, kunnen post-injectiecorticosteroïden (met uitzondering van corticosteroïden in het kader van een achtergrondbehandeling) worden stopgezet.</w:t>
      </w:r>
    </w:p>
    <w:p w14:paraId="0A897ADB" w14:textId="77777777" w:rsidR="006A598D" w:rsidRPr="009C62A2" w:rsidRDefault="006A598D" w:rsidP="006A598D">
      <w:pPr>
        <w:pStyle w:val="NoSpacing"/>
        <w:ind w:left="1416"/>
        <w:rPr>
          <w:lang w:val="nl-NL"/>
        </w:rPr>
      </w:pPr>
    </w:p>
    <w:p w14:paraId="573AE6EB" w14:textId="6D348B35" w:rsidR="006A598D" w:rsidRPr="009C62A2" w:rsidRDefault="006A598D" w:rsidP="006A598D">
      <w:pPr>
        <w:pStyle w:val="NoSpacing"/>
        <w:ind w:left="1416"/>
        <w:rPr>
          <w:lang w:val="nl-NL"/>
        </w:rPr>
      </w:pPr>
      <w:proofErr w:type="gramStart"/>
      <w:r w:rsidRPr="009C62A2">
        <w:rPr>
          <w:lang w:val="nl-NL"/>
        </w:rPr>
        <w:t>Indien</w:t>
      </w:r>
      <w:proofErr w:type="gramEnd"/>
      <w:r w:rsidRPr="009C62A2">
        <w:rPr>
          <w:lang w:val="nl-NL"/>
        </w:rPr>
        <w:t xml:space="preserve"> een bloedtransfusie is gepland, dient het bloedtransfusiecentrum van deze interferentie met de indirecte </w:t>
      </w:r>
      <w:proofErr w:type="spellStart"/>
      <w:r w:rsidRPr="009C62A2">
        <w:rPr>
          <w:lang w:val="nl-NL"/>
        </w:rPr>
        <w:t>antiglobulinetest</w:t>
      </w:r>
      <w:proofErr w:type="spellEnd"/>
      <w:r w:rsidRPr="009C62A2">
        <w:rPr>
          <w:lang w:val="nl-NL"/>
        </w:rPr>
        <w:t xml:space="preserve"> op de hoogte te worden gesteld (zie rubriek 4.5 van de S</w:t>
      </w:r>
      <w:r w:rsidR="000126A5">
        <w:rPr>
          <w:lang w:val="nl-NL"/>
        </w:rPr>
        <w:t>mP</w:t>
      </w:r>
      <w:r w:rsidRPr="009C62A2">
        <w:rPr>
          <w:lang w:val="nl-NL"/>
        </w:rPr>
        <w:t>C</w:t>
      </w:r>
      <w:r w:rsidR="000126A5" w:rsidRPr="000126A5">
        <w:rPr>
          <w:vertAlign w:val="superscript"/>
          <w:lang w:val="nl-NL"/>
        </w:rPr>
        <w:t>1</w:t>
      </w:r>
      <w:r w:rsidRPr="009C62A2">
        <w:rPr>
          <w:lang w:val="nl-NL"/>
        </w:rPr>
        <w:t>). Wanneer een noodtransfusie nodig is, kunnen ABO/</w:t>
      </w:r>
      <w:proofErr w:type="spellStart"/>
      <w:r w:rsidRPr="009C62A2">
        <w:rPr>
          <w:lang w:val="nl-NL"/>
        </w:rPr>
        <w:t>RhD</w:t>
      </w:r>
      <w:proofErr w:type="spellEnd"/>
      <w:r w:rsidRPr="009C62A2">
        <w:rPr>
          <w:lang w:val="nl-NL"/>
        </w:rPr>
        <w:t xml:space="preserve">-compatibele </w:t>
      </w:r>
      <w:proofErr w:type="spellStart"/>
      <w:r w:rsidRPr="009C62A2">
        <w:rPr>
          <w:lang w:val="nl-NL"/>
        </w:rPr>
        <w:t>RBC’s</w:t>
      </w:r>
      <w:proofErr w:type="spellEnd"/>
      <w:r w:rsidRPr="009C62A2">
        <w:rPr>
          <w:lang w:val="nl-NL"/>
        </w:rPr>
        <w:t xml:space="preserve"> zonder kruisproef worden gegeven volgens de voorschriften van de lokale bloedbank.</w:t>
      </w:r>
    </w:p>
    <w:p w14:paraId="09B9AA87" w14:textId="77777777" w:rsidR="006A598D" w:rsidRPr="009C62A2" w:rsidRDefault="006A598D" w:rsidP="006A598D">
      <w:pPr>
        <w:pStyle w:val="NoSpacing"/>
        <w:ind w:left="1416"/>
        <w:rPr>
          <w:lang w:val="nl-NL"/>
        </w:rPr>
      </w:pPr>
    </w:p>
    <w:p w14:paraId="32CFB8C3" w14:textId="47F5D449" w:rsidR="006A598D" w:rsidRDefault="006A598D" w:rsidP="006A598D">
      <w:pPr>
        <w:pStyle w:val="NoSpacing"/>
        <w:ind w:left="1416"/>
        <w:rPr>
          <w:lang w:val="nl-NL"/>
        </w:rPr>
      </w:pPr>
      <w:r w:rsidRPr="009C62A2">
        <w:rPr>
          <w:lang w:val="nl-NL"/>
        </w:rPr>
        <w:t xml:space="preserve">Een positieve indirecte </w:t>
      </w:r>
      <w:proofErr w:type="spellStart"/>
      <w:r w:rsidRPr="009C62A2">
        <w:rPr>
          <w:lang w:val="nl-NL"/>
        </w:rPr>
        <w:t>Coombstest</w:t>
      </w:r>
      <w:proofErr w:type="spellEnd"/>
      <w:r w:rsidRPr="009C62A2">
        <w:rPr>
          <w:lang w:val="nl-NL"/>
        </w:rPr>
        <w:t xml:space="preserve"> t.g.v. </w:t>
      </w:r>
      <w:r>
        <w:rPr>
          <w:lang w:val="nl-NL"/>
        </w:rPr>
        <w:t>d</w:t>
      </w:r>
      <w:r w:rsidRPr="009C62A2">
        <w:rPr>
          <w:lang w:val="nl-NL"/>
        </w:rPr>
        <w:t xml:space="preserve">aratumumab kan tot 6 maanden na de laatste infusie met </w:t>
      </w:r>
      <w:r>
        <w:rPr>
          <w:lang w:val="nl-NL"/>
        </w:rPr>
        <w:t>d</w:t>
      </w:r>
      <w:r w:rsidRPr="009C62A2">
        <w:rPr>
          <w:lang w:val="nl-NL"/>
        </w:rPr>
        <w:t>aratumumab voorkomen.</w:t>
      </w:r>
      <w:r>
        <w:rPr>
          <w:lang w:val="nl-NL"/>
        </w:rPr>
        <w:t xml:space="preserve"> </w:t>
      </w:r>
      <w:r w:rsidRPr="009C62A2">
        <w:rPr>
          <w:lang w:val="nl-NL"/>
        </w:rPr>
        <w:t>Zorg dat patiënten een patiënten</w:t>
      </w:r>
      <w:r>
        <w:rPr>
          <w:lang w:val="nl-NL"/>
        </w:rPr>
        <w:t>-</w:t>
      </w:r>
      <w:r w:rsidRPr="009C62A2">
        <w:rPr>
          <w:lang w:val="nl-NL"/>
        </w:rPr>
        <w:t xml:space="preserve">waarschuwingskaart voor </w:t>
      </w:r>
      <w:r>
        <w:rPr>
          <w:lang w:val="nl-NL"/>
        </w:rPr>
        <w:t>d</w:t>
      </w:r>
      <w:r w:rsidRPr="009C62A2">
        <w:rPr>
          <w:lang w:val="nl-NL"/>
        </w:rPr>
        <w:t xml:space="preserve">aratumumab krijgen en geef – indien beschikbaar- het compatibiliteitsprofiel van uw patiënt van voor de behandeling met </w:t>
      </w:r>
      <w:r>
        <w:rPr>
          <w:lang w:val="nl-NL"/>
        </w:rPr>
        <w:t>d</w:t>
      </w:r>
      <w:r w:rsidRPr="009C62A2">
        <w:rPr>
          <w:lang w:val="nl-NL"/>
        </w:rPr>
        <w:t>aratumumab door aan de bloedbank.</w:t>
      </w:r>
    </w:p>
    <w:p w14:paraId="65EFE1C3" w14:textId="77777777" w:rsidR="006A598D" w:rsidRPr="009C62A2" w:rsidRDefault="006A598D" w:rsidP="006A598D">
      <w:pPr>
        <w:pStyle w:val="NoSpacing"/>
        <w:ind w:left="1416"/>
        <w:rPr>
          <w:lang w:val="nl-NL"/>
        </w:rPr>
      </w:pPr>
    </w:p>
    <w:p w14:paraId="23149EAD" w14:textId="77777777" w:rsidR="006A598D" w:rsidRPr="006A598D" w:rsidRDefault="006A598D" w:rsidP="006A598D">
      <w:pPr>
        <w:pStyle w:val="NoSpacing"/>
        <w:ind w:left="1416"/>
        <w:rPr>
          <w:i/>
          <w:iCs/>
          <w:lang w:val="nl-NL"/>
        </w:rPr>
      </w:pPr>
      <w:r w:rsidRPr="006A598D">
        <w:rPr>
          <w:i/>
          <w:iCs/>
          <w:lang w:val="nl-NL"/>
        </w:rPr>
        <w:t xml:space="preserve">Interferentie met bepaling van complete respons </w:t>
      </w:r>
    </w:p>
    <w:p w14:paraId="3EB4D646" w14:textId="13CD5A21" w:rsidR="006A598D" w:rsidRDefault="006A598D" w:rsidP="006A598D">
      <w:pPr>
        <w:pStyle w:val="NoSpacing"/>
        <w:ind w:left="1416"/>
        <w:rPr>
          <w:lang w:val="nl-NL"/>
        </w:rPr>
      </w:pPr>
      <w:r w:rsidRPr="009C62A2">
        <w:rPr>
          <w:lang w:val="nl-NL"/>
        </w:rPr>
        <w:t xml:space="preserve">Daratumumab is een humaan monoklonaal IgG-kappa antilichaam dat gedetecteerd kan worden via zowel serumproteïne-elektroforese (SPE) als </w:t>
      </w:r>
      <w:proofErr w:type="spellStart"/>
      <w:r w:rsidRPr="009C62A2">
        <w:rPr>
          <w:lang w:val="nl-NL"/>
        </w:rPr>
        <w:t>immunofixatie</w:t>
      </w:r>
      <w:proofErr w:type="spellEnd"/>
      <w:r w:rsidRPr="009C62A2">
        <w:rPr>
          <w:lang w:val="nl-NL"/>
        </w:rPr>
        <w:t xml:space="preserve"> (IFE), die beide gebruikt worden voor de klinische monitoring van endogeen M-proteïne (zie rubriek 4.5</w:t>
      </w:r>
      <w:r>
        <w:rPr>
          <w:lang w:val="nl-NL"/>
        </w:rPr>
        <w:t xml:space="preserve"> S</w:t>
      </w:r>
      <w:r w:rsidR="00C9373A">
        <w:rPr>
          <w:lang w:val="nl-NL"/>
        </w:rPr>
        <w:t>mP</w:t>
      </w:r>
      <w:r>
        <w:rPr>
          <w:lang w:val="nl-NL"/>
        </w:rPr>
        <w:t>C</w:t>
      </w:r>
      <w:r w:rsidR="000126A5" w:rsidRPr="000126A5">
        <w:rPr>
          <w:vertAlign w:val="superscript"/>
          <w:lang w:val="nl-NL"/>
        </w:rPr>
        <w:t>1</w:t>
      </w:r>
      <w:r w:rsidRPr="009C62A2">
        <w:rPr>
          <w:lang w:val="nl-NL"/>
        </w:rPr>
        <w:t xml:space="preserve">). Deze interferentie kan bij sommige patiënten met IgG-kappa </w:t>
      </w:r>
      <w:r w:rsidRPr="009C62A2">
        <w:rPr>
          <w:lang w:val="nl-NL"/>
        </w:rPr>
        <w:lastRenderedPageBreak/>
        <w:t>myeloomproteïne invloed hebben op de bepaling van de complete respons en van de ziekteprogressie.</w:t>
      </w:r>
    </w:p>
    <w:p w14:paraId="3A8D0C81" w14:textId="77777777" w:rsidR="006A598D" w:rsidRPr="009C62A2" w:rsidRDefault="006A598D" w:rsidP="006A598D">
      <w:pPr>
        <w:pStyle w:val="NoSpacing"/>
        <w:ind w:left="1416"/>
        <w:rPr>
          <w:lang w:val="nl-NL"/>
        </w:rPr>
      </w:pPr>
    </w:p>
    <w:p w14:paraId="502578DE" w14:textId="7E08E838" w:rsidR="006A598D" w:rsidRDefault="006A598D" w:rsidP="006A598D">
      <w:pPr>
        <w:pStyle w:val="NoSpacing"/>
        <w:ind w:left="1416"/>
        <w:rPr>
          <w:lang w:val="nl-NL"/>
        </w:rPr>
      </w:pPr>
      <w:r w:rsidRPr="009C62A2">
        <w:rPr>
          <w:lang w:val="nl-NL"/>
        </w:rPr>
        <w:t>Voor aandachtspunten andere geneesmiddelen zie de respectievelijke SmPC’s</w:t>
      </w:r>
      <w:r w:rsidRPr="006A598D">
        <w:rPr>
          <w:vertAlign w:val="superscript"/>
          <w:lang w:val="nl-NL"/>
        </w:rPr>
        <w:t>2,3</w:t>
      </w:r>
      <w:r w:rsidRPr="006A598D">
        <w:rPr>
          <w:lang w:val="nl-NL"/>
        </w:rPr>
        <w:t>.</w:t>
      </w:r>
    </w:p>
    <w:p w14:paraId="36C1B11E" w14:textId="77777777" w:rsidR="004614E6" w:rsidRDefault="004614E6" w:rsidP="006A598D">
      <w:pPr>
        <w:pStyle w:val="NoSpacing"/>
        <w:ind w:left="1416"/>
        <w:rPr>
          <w:lang w:val="nl-NL"/>
        </w:rPr>
      </w:pPr>
    </w:p>
    <w:p w14:paraId="69455369" w14:textId="0144D5F4" w:rsidR="00633488" w:rsidRPr="00633488" w:rsidRDefault="00633488" w:rsidP="00633488">
      <w:pPr>
        <w:pStyle w:val="NoSpacing"/>
        <w:numPr>
          <w:ilvl w:val="0"/>
          <w:numId w:val="2"/>
        </w:numPr>
        <w:rPr>
          <w:b/>
          <w:bCs/>
          <w:color w:val="002060"/>
          <w:sz w:val="24"/>
          <w:szCs w:val="24"/>
        </w:rPr>
      </w:pPr>
      <w:proofErr w:type="spellStart"/>
      <w:r w:rsidRPr="00633488">
        <w:rPr>
          <w:b/>
          <w:bCs/>
          <w:color w:val="002060"/>
          <w:sz w:val="24"/>
          <w:szCs w:val="24"/>
        </w:rPr>
        <w:t>Belangrijkste</w:t>
      </w:r>
      <w:proofErr w:type="spellEnd"/>
      <w:r w:rsidRPr="00633488">
        <w:rPr>
          <w:b/>
          <w:bCs/>
          <w:color w:val="002060"/>
          <w:sz w:val="24"/>
          <w:szCs w:val="24"/>
        </w:rPr>
        <w:t xml:space="preserve"> </w:t>
      </w:r>
      <w:proofErr w:type="spellStart"/>
      <w:r w:rsidRPr="00633488">
        <w:rPr>
          <w:b/>
          <w:bCs/>
          <w:color w:val="002060"/>
          <w:sz w:val="24"/>
          <w:szCs w:val="24"/>
        </w:rPr>
        <w:t>bijwerkingen</w:t>
      </w:r>
      <w:proofErr w:type="spellEnd"/>
    </w:p>
    <w:p w14:paraId="48D0A62A" w14:textId="07837FC4" w:rsidR="00633488" w:rsidRDefault="00633488" w:rsidP="00633488">
      <w:pPr>
        <w:pStyle w:val="NoSpacing"/>
        <w:rPr>
          <w:sz w:val="24"/>
          <w:szCs w:val="24"/>
        </w:rPr>
      </w:pPr>
    </w:p>
    <w:p w14:paraId="239DDC9B" w14:textId="72DE143C" w:rsidR="00633488" w:rsidRPr="00633488" w:rsidRDefault="00633488" w:rsidP="00633488">
      <w:pPr>
        <w:pStyle w:val="NoSpacing"/>
        <w:numPr>
          <w:ilvl w:val="1"/>
          <w:numId w:val="2"/>
        </w:numPr>
        <w:rPr>
          <w:color w:val="002060"/>
          <w:sz w:val="24"/>
          <w:szCs w:val="24"/>
          <w:u w:val="single"/>
        </w:rPr>
      </w:pPr>
      <w:proofErr w:type="spellStart"/>
      <w:r w:rsidRPr="00633488">
        <w:rPr>
          <w:color w:val="002060"/>
          <w:sz w:val="24"/>
          <w:szCs w:val="24"/>
          <w:u w:val="single"/>
        </w:rPr>
        <w:t>Algemeen</w:t>
      </w:r>
      <w:proofErr w:type="spellEnd"/>
    </w:p>
    <w:p w14:paraId="6956890D" w14:textId="77777777" w:rsidR="006A598D" w:rsidRPr="006A598D" w:rsidRDefault="006A598D" w:rsidP="006A598D">
      <w:pPr>
        <w:pStyle w:val="ListParagraph"/>
        <w:tabs>
          <w:tab w:val="left" w:pos="720"/>
        </w:tabs>
        <w:ind w:left="1416"/>
        <w:rPr>
          <w:rFonts w:cstheme="minorHAnsi"/>
          <w:lang w:val="nl-NL"/>
        </w:rPr>
      </w:pPr>
      <w:r w:rsidRPr="006A598D">
        <w:rPr>
          <w:rFonts w:eastAsia="Times New Roman" w:cstheme="minorHAnsi"/>
          <w:u w:val="single"/>
          <w:lang w:val="nl-BE"/>
        </w:rPr>
        <w:t>Samenvatting van het veiligheidsprofiel</w:t>
      </w:r>
    </w:p>
    <w:p w14:paraId="37D49755" w14:textId="77777777" w:rsidR="006A598D" w:rsidRPr="006A598D" w:rsidRDefault="006A598D" w:rsidP="006A598D">
      <w:pPr>
        <w:pStyle w:val="ListParagraph"/>
        <w:ind w:left="1416"/>
        <w:rPr>
          <w:rFonts w:cstheme="minorHAnsi"/>
          <w:lang w:val="nl-NL"/>
        </w:rPr>
      </w:pPr>
      <w:r w:rsidRPr="006A598D">
        <w:rPr>
          <w:rFonts w:eastAsia="Times New Roman" w:cstheme="minorHAnsi"/>
          <w:lang w:val="nl-BE"/>
        </w:rPr>
        <w:t>De vaakst voorkomende bijwerkingen, ongeacht de graad (≥20% van de patiënten), met daratumumab (hetzij de intraveneuze, hetzij de subcutane formulering) bij toediening als monotherapie of in combinatiebehandeling waren IRR’s, vermoeidheid, nausea, diarree, constipatie, pyrexie, dyspneu, hoesten, neutropenie, trombocytopenie, anemie, oedeem perifeer, perifere sensorische neuropathie en bovenste-luchtweginfectie. Ernstige bijwerkingen waren pneumonie, bronchitis, bovenste-luchtweginfectie, sepsis, longoedeem, griep, pyrexie, dehydratie, diarree, atriale fibrillatie en syncope.</w:t>
      </w:r>
    </w:p>
    <w:p w14:paraId="71BE6906" w14:textId="4207A46B" w:rsidR="006A598D" w:rsidRPr="006A598D" w:rsidRDefault="006A598D" w:rsidP="006A598D">
      <w:pPr>
        <w:pStyle w:val="ListParagraph"/>
        <w:ind w:left="1416"/>
        <w:rPr>
          <w:rFonts w:cstheme="minorHAnsi"/>
          <w:lang w:val="nl-NL"/>
        </w:rPr>
      </w:pPr>
      <w:r w:rsidRPr="006A598D">
        <w:rPr>
          <w:rFonts w:eastAsia="Times New Roman" w:cstheme="minorHAnsi"/>
          <w:lang w:val="nl-BE"/>
        </w:rPr>
        <w:t xml:space="preserve">Het bijwerkingenprofiel van </w:t>
      </w:r>
      <w:r>
        <w:rPr>
          <w:rFonts w:eastAsia="Times New Roman" w:cstheme="minorHAnsi"/>
          <w:lang w:val="nl-BE"/>
        </w:rPr>
        <w:t>daratumumab SC</w:t>
      </w:r>
      <w:r w:rsidRPr="006A598D">
        <w:rPr>
          <w:rFonts w:eastAsia="Times New Roman" w:cstheme="minorHAnsi"/>
          <w:lang w:val="nl-BE"/>
        </w:rPr>
        <w:t xml:space="preserve"> was vergelijkbaar met dat van de intraveneuze formulering, met uitzondering van een lager percentage IRR’s. In de fase III-studie MMY3012 was neutropenie de enige bijwerking die bij </w:t>
      </w:r>
      <w:r>
        <w:rPr>
          <w:rFonts w:eastAsia="Times New Roman" w:cstheme="minorHAnsi"/>
          <w:lang w:val="nl-BE"/>
        </w:rPr>
        <w:t>daratumumab SC</w:t>
      </w:r>
      <w:r w:rsidRPr="006A598D">
        <w:rPr>
          <w:rFonts w:eastAsia="Times New Roman" w:cstheme="minorHAnsi"/>
          <w:lang w:val="nl-BE"/>
        </w:rPr>
        <w:t xml:space="preserve"> werd gemeld in een ≥ 5% hogere frequentie dan bij intraveneus daratumumab (graad 3 of 4: 13% bij subcutane toediening vs. 8% bij intraveneuze toediening).</w:t>
      </w:r>
    </w:p>
    <w:p w14:paraId="14630B85" w14:textId="2873C904" w:rsidR="006A598D" w:rsidRDefault="006A598D" w:rsidP="006A598D">
      <w:pPr>
        <w:pStyle w:val="ListParagraph"/>
        <w:tabs>
          <w:tab w:val="left" w:pos="720"/>
        </w:tabs>
        <w:ind w:left="1416"/>
        <w:rPr>
          <w:rFonts w:eastAsia="Times New Roman" w:cstheme="minorHAnsi"/>
          <w:u w:val="single"/>
          <w:lang w:val="nl-BE"/>
        </w:rPr>
      </w:pPr>
    </w:p>
    <w:p w14:paraId="7CF366AE" w14:textId="2CFC0526" w:rsidR="00C9373A" w:rsidRPr="00756A2D" w:rsidRDefault="00756A2D" w:rsidP="006A598D">
      <w:pPr>
        <w:pStyle w:val="ListParagraph"/>
        <w:tabs>
          <w:tab w:val="left" w:pos="720"/>
        </w:tabs>
        <w:ind w:left="1416"/>
        <w:rPr>
          <w:rFonts w:eastAsia="Times New Roman" w:cstheme="minorHAnsi"/>
          <w:lang w:val="nl-BE"/>
        </w:rPr>
      </w:pPr>
      <w:bookmarkStart w:id="3" w:name="_Hlk90835342"/>
      <w:r w:rsidRPr="00756A2D">
        <w:rPr>
          <w:rFonts w:eastAsia="Times New Roman" w:cstheme="minorHAnsi"/>
          <w:lang w:val="nl-BE"/>
        </w:rPr>
        <w:t xml:space="preserve">Bekijk de </w:t>
      </w:r>
      <w:proofErr w:type="spellStart"/>
      <w:r w:rsidRPr="00756A2D">
        <w:rPr>
          <w:rFonts w:eastAsia="Times New Roman" w:cstheme="minorHAnsi"/>
          <w:lang w:val="nl-BE"/>
        </w:rPr>
        <w:t>SmPC</w:t>
      </w:r>
      <w:proofErr w:type="spellEnd"/>
      <w:r w:rsidRPr="00756A2D">
        <w:rPr>
          <w:rFonts w:eastAsia="Times New Roman" w:cstheme="minorHAnsi"/>
          <w:lang w:val="nl-BE"/>
        </w:rPr>
        <w:t xml:space="preserve"> van </w:t>
      </w:r>
      <w:r w:rsidR="000126A5">
        <w:rPr>
          <w:rFonts w:eastAsia="Times New Roman" w:cstheme="minorHAnsi"/>
          <w:lang w:val="nl-BE"/>
        </w:rPr>
        <w:t>Darzalex</w:t>
      </w:r>
      <w:r w:rsidRPr="00756A2D">
        <w:rPr>
          <w:rFonts w:eastAsia="Times New Roman" w:cstheme="minorHAnsi"/>
          <w:lang w:val="nl-BE"/>
        </w:rPr>
        <w:t xml:space="preserve"> v</w:t>
      </w:r>
      <w:r w:rsidR="00C9373A" w:rsidRPr="00756A2D">
        <w:rPr>
          <w:rFonts w:eastAsia="Times New Roman" w:cstheme="minorHAnsi"/>
          <w:lang w:val="nl-BE"/>
        </w:rPr>
        <w:t>oor een volledig overzicht van geregistreerde bijwerkingen</w:t>
      </w:r>
      <w:r>
        <w:rPr>
          <w:rFonts w:eastAsia="Times New Roman" w:cstheme="minorHAnsi"/>
          <w:lang w:val="nl-BE"/>
        </w:rPr>
        <w:t xml:space="preserve"> (tabel 6)</w:t>
      </w:r>
      <w:r w:rsidRPr="00756A2D">
        <w:rPr>
          <w:rFonts w:eastAsia="Times New Roman" w:cstheme="minorHAnsi"/>
          <w:lang w:val="nl-BE"/>
        </w:rPr>
        <w:t>.</w:t>
      </w:r>
      <w:r w:rsidRPr="00756A2D">
        <w:rPr>
          <w:rFonts w:eastAsia="Times New Roman" w:cstheme="minorHAnsi"/>
          <w:vertAlign w:val="superscript"/>
          <w:lang w:val="nl-BE"/>
        </w:rPr>
        <w:t>1</w:t>
      </w:r>
      <w:r w:rsidR="00C9373A" w:rsidRPr="00756A2D">
        <w:rPr>
          <w:rFonts w:eastAsia="Times New Roman" w:cstheme="minorHAnsi"/>
          <w:vertAlign w:val="superscript"/>
          <w:lang w:val="nl-BE"/>
        </w:rPr>
        <w:t xml:space="preserve"> </w:t>
      </w:r>
    </w:p>
    <w:bookmarkEnd w:id="3"/>
    <w:p w14:paraId="2D1F2A88" w14:textId="77777777" w:rsidR="00C9373A" w:rsidRDefault="00C9373A" w:rsidP="006A598D">
      <w:pPr>
        <w:pStyle w:val="ListParagraph"/>
        <w:tabs>
          <w:tab w:val="left" w:pos="720"/>
        </w:tabs>
        <w:ind w:left="1416"/>
        <w:rPr>
          <w:rFonts w:eastAsia="Times New Roman" w:cstheme="minorHAnsi"/>
          <w:u w:val="single"/>
          <w:lang w:val="nl-BE"/>
        </w:rPr>
      </w:pPr>
    </w:p>
    <w:p w14:paraId="30D00085" w14:textId="3A3B6A1F" w:rsidR="006A598D" w:rsidRPr="006A598D" w:rsidRDefault="006A598D" w:rsidP="006A598D">
      <w:pPr>
        <w:pStyle w:val="ListParagraph"/>
        <w:tabs>
          <w:tab w:val="left" w:pos="720"/>
        </w:tabs>
        <w:ind w:left="1416"/>
        <w:rPr>
          <w:rFonts w:cstheme="minorHAnsi"/>
          <w:lang w:val="nl-NL"/>
        </w:rPr>
      </w:pPr>
      <w:r w:rsidRPr="006A598D">
        <w:rPr>
          <w:rFonts w:eastAsia="Times New Roman" w:cstheme="minorHAnsi"/>
          <w:u w:val="single"/>
          <w:lang w:val="nl-BE"/>
        </w:rPr>
        <w:t>Beschrijving van geselecteerde bijwerkingen</w:t>
      </w:r>
    </w:p>
    <w:p w14:paraId="24021B18" w14:textId="77777777" w:rsidR="006A598D" w:rsidRDefault="006A598D" w:rsidP="006A598D">
      <w:pPr>
        <w:pStyle w:val="ListParagraph"/>
        <w:tabs>
          <w:tab w:val="left" w:pos="720"/>
        </w:tabs>
        <w:ind w:left="1416"/>
        <w:rPr>
          <w:rFonts w:eastAsia="Times New Roman" w:cstheme="minorHAnsi"/>
          <w:i/>
          <w:iCs/>
          <w:lang w:val="nl-BE"/>
        </w:rPr>
      </w:pPr>
    </w:p>
    <w:p w14:paraId="36B0B32D" w14:textId="36BDA224" w:rsidR="006A598D" w:rsidRPr="006A598D" w:rsidRDefault="006A598D" w:rsidP="006A598D">
      <w:pPr>
        <w:pStyle w:val="ListParagraph"/>
        <w:tabs>
          <w:tab w:val="left" w:pos="720"/>
        </w:tabs>
        <w:ind w:left="1416"/>
        <w:rPr>
          <w:rFonts w:cstheme="minorHAnsi"/>
          <w:lang w:val="nl-NL"/>
        </w:rPr>
      </w:pPr>
      <w:proofErr w:type="spellStart"/>
      <w:r w:rsidRPr="006A598D">
        <w:rPr>
          <w:rFonts w:eastAsia="Times New Roman" w:cstheme="minorHAnsi"/>
          <w:i/>
          <w:iCs/>
          <w:lang w:val="nl-BE"/>
        </w:rPr>
        <w:t>Infusiegerelateerde</w:t>
      </w:r>
      <w:proofErr w:type="spellEnd"/>
      <w:r w:rsidRPr="006A598D">
        <w:rPr>
          <w:rFonts w:eastAsia="Times New Roman" w:cstheme="minorHAnsi"/>
          <w:i/>
          <w:iCs/>
          <w:lang w:val="nl-BE"/>
        </w:rPr>
        <w:t xml:space="preserve"> reacties (IRR’s)</w:t>
      </w:r>
    </w:p>
    <w:p w14:paraId="33D69C6A" w14:textId="0178CA87" w:rsidR="006A598D" w:rsidRPr="006A598D" w:rsidRDefault="006A598D" w:rsidP="006A598D">
      <w:pPr>
        <w:pStyle w:val="ListParagraph"/>
        <w:ind w:left="1416"/>
        <w:rPr>
          <w:rFonts w:cstheme="minorHAnsi"/>
          <w:lang w:val="nl-NL"/>
        </w:rPr>
      </w:pPr>
      <w:r w:rsidRPr="006A598D">
        <w:rPr>
          <w:rFonts w:eastAsia="Times New Roman" w:cstheme="minorHAnsi"/>
          <w:lang w:val="nl-BE"/>
        </w:rPr>
        <w:t xml:space="preserve">In klinische studies (monotherapie en combinatietherapie; N=832) met </w:t>
      </w:r>
      <w:r>
        <w:rPr>
          <w:rFonts w:eastAsia="Times New Roman" w:cstheme="minorHAnsi"/>
          <w:lang w:val="nl-BE"/>
        </w:rPr>
        <w:t>daratumumab SC</w:t>
      </w:r>
      <w:r w:rsidRPr="006A598D">
        <w:rPr>
          <w:rFonts w:eastAsia="Times New Roman" w:cstheme="minorHAnsi"/>
          <w:lang w:val="nl-BE"/>
        </w:rPr>
        <w:t xml:space="preserve"> bedroeg de incidentie van de IRR’s van alle graden 8,2% bij de eerste injectie met </w:t>
      </w:r>
      <w:r>
        <w:rPr>
          <w:rFonts w:eastAsia="Times New Roman" w:cstheme="minorHAnsi"/>
          <w:lang w:val="nl-BE"/>
        </w:rPr>
        <w:t>daratumumab SC</w:t>
      </w:r>
      <w:r w:rsidRPr="006A598D">
        <w:rPr>
          <w:rFonts w:eastAsia="Times New Roman" w:cstheme="minorHAnsi"/>
          <w:lang w:val="nl-BE"/>
        </w:rPr>
        <w:t xml:space="preserve"> (1 800 mg, week 1), 0,4% bij de injectie in week 2, en 1,1% bij de volgende injecties. Graad 3-IRR’s werden gezien bij 0,8% van de patiënten. Er waren geen patiënten met graad 4</w:t>
      </w:r>
      <w:r w:rsidRPr="006A598D">
        <w:rPr>
          <w:rFonts w:ascii="Cambria Math" w:eastAsia="Times New Roman" w:hAnsi="Cambria Math" w:cs="Cambria Math"/>
          <w:lang w:val="nl-BE"/>
        </w:rPr>
        <w:noBreakHyphen/>
      </w:r>
      <w:r w:rsidRPr="006A598D">
        <w:rPr>
          <w:rFonts w:eastAsia="Times New Roman" w:cstheme="minorHAnsi"/>
          <w:lang w:val="nl-BE"/>
        </w:rPr>
        <w:t>IRR</w:t>
      </w:r>
      <w:r w:rsidRPr="006A598D">
        <w:rPr>
          <w:rFonts w:ascii="Calibri" w:eastAsia="Times New Roman" w:hAnsi="Calibri" w:cs="Calibri"/>
          <w:lang w:val="nl-BE"/>
        </w:rPr>
        <w:t>’</w:t>
      </w:r>
      <w:r w:rsidRPr="006A598D">
        <w:rPr>
          <w:rFonts w:eastAsia="Times New Roman" w:cstheme="minorHAnsi"/>
          <w:lang w:val="nl-BE"/>
        </w:rPr>
        <w:t>s.</w:t>
      </w:r>
    </w:p>
    <w:p w14:paraId="4B3B6AE5" w14:textId="5DF8F384" w:rsidR="006A598D" w:rsidRPr="006A598D" w:rsidRDefault="006A598D" w:rsidP="006A598D">
      <w:pPr>
        <w:pStyle w:val="ListParagraph"/>
        <w:ind w:left="1416"/>
        <w:rPr>
          <w:rFonts w:cstheme="minorHAnsi"/>
          <w:lang w:val="nl-NL"/>
        </w:rPr>
      </w:pPr>
      <w:r w:rsidRPr="006A598D">
        <w:rPr>
          <w:rFonts w:eastAsia="Times New Roman" w:cstheme="minorHAnsi"/>
          <w:lang w:val="nl-BE"/>
        </w:rPr>
        <w:t>Symptomen en klachten van IRR’s zijn onder andere respiratoire symptomen, zoals neusverstopping, hoesten, irritatie van de keel, allergische rinitis, piepende ademhaling en ook pyrexie, pijn op de borst, pruritus, koude rillingen, braken, nausea en hypotensie. Er traden ook ernstige reacties op, waaronder bronchospasme, hypoxie, dyspneu, hypertensie en tachycardie (zie rubriek 4.4</w:t>
      </w:r>
      <w:r>
        <w:rPr>
          <w:rFonts w:eastAsia="Times New Roman" w:cstheme="minorHAnsi"/>
          <w:lang w:val="nl-BE"/>
        </w:rPr>
        <w:t xml:space="preserve"> in de SmPC</w:t>
      </w:r>
      <w:r w:rsidRPr="006A598D">
        <w:rPr>
          <w:rFonts w:eastAsia="Times New Roman" w:cstheme="minorHAnsi"/>
          <w:vertAlign w:val="superscript"/>
          <w:lang w:val="nl-BE"/>
        </w:rPr>
        <w:t>1</w:t>
      </w:r>
      <w:r w:rsidRPr="006A598D">
        <w:rPr>
          <w:rFonts w:eastAsia="Times New Roman" w:cstheme="minorHAnsi"/>
          <w:lang w:val="nl-BE"/>
        </w:rPr>
        <w:t>).</w:t>
      </w:r>
    </w:p>
    <w:p w14:paraId="64B44C5E" w14:textId="77777777" w:rsidR="006A598D" w:rsidRDefault="006A598D" w:rsidP="006A598D">
      <w:pPr>
        <w:pStyle w:val="ListParagraph"/>
        <w:ind w:left="1416"/>
        <w:rPr>
          <w:rFonts w:eastAsia="Times New Roman" w:cstheme="minorHAnsi"/>
          <w:i/>
          <w:iCs/>
          <w:lang w:val="nl-BE"/>
        </w:rPr>
      </w:pPr>
    </w:p>
    <w:p w14:paraId="4180AB9B" w14:textId="11FE529F" w:rsidR="006A598D" w:rsidRPr="006A598D" w:rsidRDefault="006A598D" w:rsidP="006A598D">
      <w:pPr>
        <w:pStyle w:val="ListParagraph"/>
        <w:ind w:left="1416"/>
        <w:rPr>
          <w:rFonts w:cstheme="minorHAnsi"/>
          <w:lang w:val="nl-NL"/>
        </w:rPr>
      </w:pPr>
      <w:r w:rsidRPr="006A598D">
        <w:rPr>
          <w:rFonts w:eastAsia="Times New Roman" w:cstheme="minorHAnsi"/>
          <w:i/>
          <w:iCs/>
          <w:lang w:val="nl-BE"/>
        </w:rPr>
        <w:t>Injectieplaatsreacties (</w:t>
      </w:r>
      <w:proofErr w:type="spellStart"/>
      <w:r w:rsidRPr="006A598D">
        <w:rPr>
          <w:rFonts w:eastAsia="Times New Roman" w:cstheme="minorHAnsi"/>
          <w:i/>
          <w:iCs/>
          <w:lang w:val="nl-BE"/>
        </w:rPr>
        <w:t>ISR’s</w:t>
      </w:r>
      <w:proofErr w:type="spellEnd"/>
      <w:r w:rsidRPr="006A598D">
        <w:rPr>
          <w:rFonts w:eastAsia="Times New Roman" w:cstheme="minorHAnsi"/>
          <w:i/>
          <w:iCs/>
          <w:lang w:val="nl-BE"/>
        </w:rPr>
        <w:t>)</w:t>
      </w:r>
    </w:p>
    <w:p w14:paraId="0044400A" w14:textId="1423F489" w:rsidR="006A598D" w:rsidRPr="006A598D" w:rsidRDefault="006A598D" w:rsidP="006A598D">
      <w:pPr>
        <w:pStyle w:val="ListParagraph"/>
        <w:ind w:left="1416"/>
        <w:rPr>
          <w:rFonts w:cstheme="minorHAnsi"/>
          <w:lang w:val="nl-NL"/>
        </w:rPr>
      </w:pPr>
      <w:r w:rsidRPr="006A598D">
        <w:rPr>
          <w:rFonts w:eastAsia="Times New Roman" w:cstheme="minorHAnsi"/>
          <w:lang w:val="nl-BE"/>
        </w:rPr>
        <w:t xml:space="preserve">In klinische studies (N=832) met </w:t>
      </w:r>
      <w:r>
        <w:rPr>
          <w:rFonts w:eastAsia="Times New Roman" w:cstheme="minorHAnsi"/>
          <w:lang w:val="nl-BE"/>
        </w:rPr>
        <w:t>daratumumab SC</w:t>
      </w:r>
      <w:r w:rsidRPr="006A598D">
        <w:rPr>
          <w:rFonts w:eastAsia="Times New Roman" w:cstheme="minorHAnsi"/>
          <w:lang w:val="nl-BE"/>
        </w:rPr>
        <w:t xml:space="preserve"> bedroeg de incidentie van de injectieplaatsreacties</w:t>
      </w:r>
      <w:r w:rsidRPr="006A598D">
        <w:rPr>
          <w:rFonts w:eastAsia="Times New Roman" w:cstheme="minorHAnsi"/>
          <w:i/>
          <w:iCs/>
          <w:lang w:val="nl-BE"/>
        </w:rPr>
        <w:t xml:space="preserve"> </w:t>
      </w:r>
      <w:r w:rsidRPr="006A598D">
        <w:rPr>
          <w:rFonts w:eastAsia="Times New Roman" w:cstheme="minorHAnsi"/>
          <w:lang w:val="nl-BE"/>
        </w:rPr>
        <w:t xml:space="preserve">van alle graden 7,7%. Er waren geen </w:t>
      </w:r>
      <w:proofErr w:type="spellStart"/>
      <w:r w:rsidRPr="006A598D">
        <w:rPr>
          <w:rFonts w:eastAsia="Times New Roman" w:cstheme="minorHAnsi"/>
          <w:lang w:val="nl-BE"/>
        </w:rPr>
        <w:t>ISR’s</w:t>
      </w:r>
      <w:proofErr w:type="spellEnd"/>
      <w:r w:rsidRPr="006A598D">
        <w:rPr>
          <w:rFonts w:eastAsia="Times New Roman" w:cstheme="minorHAnsi"/>
          <w:lang w:val="nl-BE"/>
        </w:rPr>
        <w:t xml:space="preserve"> van graad 3 of 4. De meest voorkomende ISR op de injectieplaats (&gt;1%) was erytheem.</w:t>
      </w:r>
    </w:p>
    <w:p w14:paraId="4E1DD07A" w14:textId="77777777" w:rsidR="006A598D" w:rsidRDefault="006A598D" w:rsidP="006A598D">
      <w:pPr>
        <w:pStyle w:val="ListParagraph"/>
        <w:ind w:left="1416"/>
        <w:rPr>
          <w:rFonts w:eastAsia="Times New Roman" w:cstheme="minorHAnsi"/>
          <w:i/>
          <w:iCs/>
          <w:lang w:val="nl-BE"/>
        </w:rPr>
      </w:pPr>
    </w:p>
    <w:p w14:paraId="5559743B" w14:textId="4268EB75" w:rsidR="006A598D" w:rsidRPr="006A598D" w:rsidRDefault="006A598D" w:rsidP="006A598D">
      <w:pPr>
        <w:pStyle w:val="ListParagraph"/>
        <w:ind w:left="1416"/>
        <w:rPr>
          <w:rFonts w:cstheme="minorHAnsi"/>
          <w:lang w:val="nl-NL"/>
        </w:rPr>
      </w:pPr>
      <w:r w:rsidRPr="006A598D">
        <w:rPr>
          <w:rFonts w:eastAsia="Times New Roman" w:cstheme="minorHAnsi"/>
          <w:i/>
          <w:iCs/>
          <w:lang w:val="nl-BE"/>
        </w:rPr>
        <w:lastRenderedPageBreak/>
        <w:t>Infecties</w:t>
      </w:r>
    </w:p>
    <w:p w14:paraId="2C293F18" w14:textId="136D05E5" w:rsidR="006774D0" w:rsidRDefault="006A598D" w:rsidP="00401DE0">
      <w:pPr>
        <w:pStyle w:val="ListParagraph"/>
        <w:ind w:left="1416"/>
        <w:rPr>
          <w:rFonts w:eastAsia="Times New Roman" w:cstheme="minorHAnsi"/>
          <w:lang w:val="nl-BE"/>
        </w:rPr>
      </w:pPr>
      <w:r w:rsidRPr="006A598D">
        <w:rPr>
          <w:rFonts w:eastAsia="Times New Roman" w:cstheme="minorHAnsi"/>
          <w:lang w:val="nl-BE"/>
        </w:rPr>
        <w:t xml:space="preserve">Bij patiënten met multipel myeloom die daratumumab als monotherapie ontvingen, was de totale incidentie van infecties vergelijkbaar bij de groepen met </w:t>
      </w:r>
      <w:r>
        <w:rPr>
          <w:rFonts w:eastAsia="Times New Roman" w:cstheme="minorHAnsi"/>
          <w:lang w:val="nl-BE"/>
        </w:rPr>
        <w:t>daratumumab</w:t>
      </w:r>
      <w:r w:rsidRPr="006A598D">
        <w:rPr>
          <w:rFonts w:eastAsia="Times New Roman" w:cstheme="minorHAnsi"/>
          <w:lang w:val="nl-BE"/>
        </w:rPr>
        <w:t xml:space="preserve"> subcutane formulering (52,9%) en intraveneuze formulering (50,0%). Graad 3- of graad 4-infecties kwamen eveneens in vergelijkbare frequenties voor bij </w:t>
      </w:r>
      <w:r>
        <w:rPr>
          <w:rFonts w:eastAsia="Times New Roman" w:cstheme="minorHAnsi"/>
          <w:lang w:val="nl-BE"/>
        </w:rPr>
        <w:t>daratumumab</w:t>
      </w:r>
      <w:r w:rsidRPr="006A598D">
        <w:rPr>
          <w:rFonts w:eastAsia="Times New Roman" w:cstheme="minorHAnsi"/>
          <w:lang w:val="nl-BE"/>
        </w:rPr>
        <w:t xml:space="preserve"> subcutane formulering (11,7%) en intraveneus daratumumab (14,3%). De meeste infecties waren behandelbaar en infecties leidden zelden tot stopzetten van de behandeling. Over alle studies samen was pneumonie de meest gemelde graad 3- of graad 4-infectie. In studies met een actieve controle kwam stoppen met de behandeling vanwege infecties voor bij 1-4% van de patiënten. Fatale infecties waren voornamelijk het gevolg van pneumonie en sepsis.</w:t>
      </w:r>
    </w:p>
    <w:p w14:paraId="5887ECAB" w14:textId="77777777" w:rsidR="00401DE0" w:rsidRPr="00401DE0" w:rsidRDefault="00401DE0" w:rsidP="00401DE0">
      <w:pPr>
        <w:pStyle w:val="ListParagraph"/>
        <w:ind w:left="1416"/>
        <w:rPr>
          <w:rFonts w:cstheme="minorHAnsi"/>
          <w:lang w:val="nl-NL"/>
        </w:rPr>
      </w:pPr>
    </w:p>
    <w:p w14:paraId="1CAB718E" w14:textId="77777777" w:rsidR="006774D0" w:rsidRDefault="006774D0" w:rsidP="006A598D">
      <w:pPr>
        <w:pStyle w:val="ListParagraph"/>
        <w:ind w:left="1416"/>
        <w:rPr>
          <w:lang w:val="nl-NL"/>
        </w:rPr>
      </w:pPr>
      <w:r w:rsidRPr="006774D0">
        <w:rPr>
          <w:lang w:val="nl-NL"/>
        </w:rPr>
        <w:t xml:space="preserve">Bij patiënten met multipel myeloom die </w:t>
      </w:r>
      <w:r>
        <w:rPr>
          <w:lang w:val="nl-NL"/>
        </w:rPr>
        <w:t>daratumumab SC</w:t>
      </w:r>
      <w:r w:rsidRPr="006774D0">
        <w:rPr>
          <w:lang w:val="nl-NL"/>
        </w:rPr>
        <w:t xml:space="preserve"> combinatietherapie kregen, werd het volgende gemeld: </w:t>
      </w:r>
    </w:p>
    <w:p w14:paraId="6A2D0BE2" w14:textId="77777777" w:rsidR="006774D0" w:rsidRDefault="006774D0" w:rsidP="006A598D">
      <w:pPr>
        <w:pStyle w:val="ListParagraph"/>
        <w:ind w:left="1416"/>
        <w:rPr>
          <w:lang w:val="nl-NL"/>
        </w:rPr>
      </w:pPr>
      <w:r w:rsidRPr="006774D0">
        <w:rPr>
          <w:lang w:val="nl-NL"/>
        </w:rPr>
        <w:t xml:space="preserve">Graad 3- of graad 4-infecties: </w:t>
      </w:r>
      <w:proofErr w:type="spellStart"/>
      <w:r w:rsidRPr="006774D0">
        <w:rPr>
          <w:lang w:val="nl-NL"/>
        </w:rPr>
        <w:t>DPd</w:t>
      </w:r>
      <w:proofErr w:type="spellEnd"/>
      <w:r w:rsidRPr="006774D0">
        <w:rPr>
          <w:lang w:val="nl-NL"/>
        </w:rPr>
        <w:t xml:space="preserve">: 28%, Pd: 23% </w:t>
      </w:r>
    </w:p>
    <w:p w14:paraId="3E8DC4B0" w14:textId="77777777" w:rsidR="006774D0" w:rsidRDefault="006774D0" w:rsidP="006A598D">
      <w:pPr>
        <w:pStyle w:val="ListParagraph"/>
        <w:ind w:left="1416"/>
        <w:rPr>
          <w:lang w:val="nl-NL"/>
        </w:rPr>
      </w:pPr>
      <w:r w:rsidRPr="006774D0">
        <w:rPr>
          <w:lang w:val="nl-NL"/>
        </w:rPr>
        <w:t xml:space="preserve">Graad 5 (fatale) -infecties: </w:t>
      </w:r>
      <w:proofErr w:type="spellStart"/>
      <w:r w:rsidRPr="006774D0">
        <w:rPr>
          <w:lang w:val="nl-NL"/>
        </w:rPr>
        <w:t>DPd</w:t>
      </w:r>
      <w:proofErr w:type="spellEnd"/>
      <w:r w:rsidRPr="006774D0">
        <w:rPr>
          <w:lang w:val="nl-NL"/>
        </w:rPr>
        <w:t xml:space="preserve">: 5%, Pd: 3% </w:t>
      </w:r>
    </w:p>
    <w:p w14:paraId="572867E5" w14:textId="13F3D297" w:rsidR="006774D0" w:rsidRPr="006774D0" w:rsidRDefault="006774D0" w:rsidP="006A598D">
      <w:pPr>
        <w:pStyle w:val="ListParagraph"/>
        <w:ind w:left="1416"/>
        <w:rPr>
          <w:rFonts w:eastAsia="Times New Roman" w:cstheme="minorHAnsi"/>
          <w:i/>
          <w:iCs/>
          <w:sz w:val="14"/>
          <w:szCs w:val="14"/>
          <w:lang w:val="nl-NL"/>
        </w:rPr>
      </w:pPr>
      <w:r w:rsidRPr="006774D0">
        <w:rPr>
          <w:sz w:val="14"/>
          <w:szCs w:val="14"/>
          <w:lang w:val="nl-NL"/>
        </w:rPr>
        <w:t>Verklaring: D=daratumumab; Pd=</w:t>
      </w:r>
      <w:proofErr w:type="spellStart"/>
      <w:r w:rsidRPr="006774D0">
        <w:rPr>
          <w:sz w:val="14"/>
          <w:szCs w:val="14"/>
          <w:lang w:val="nl-NL"/>
        </w:rPr>
        <w:t>pomalidomide</w:t>
      </w:r>
      <w:proofErr w:type="spellEnd"/>
      <w:r w:rsidR="00401DE0">
        <w:rPr>
          <w:sz w:val="14"/>
          <w:szCs w:val="14"/>
          <w:lang w:val="nl-NL"/>
        </w:rPr>
        <w:t>-</w:t>
      </w:r>
      <w:r w:rsidRPr="006774D0">
        <w:rPr>
          <w:sz w:val="14"/>
          <w:szCs w:val="14"/>
          <w:lang w:val="nl-NL"/>
        </w:rPr>
        <w:t>dexamethason</w:t>
      </w:r>
    </w:p>
    <w:p w14:paraId="1717456D" w14:textId="77777777" w:rsidR="006774D0" w:rsidRDefault="006774D0" w:rsidP="006A598D">
      <w:pPr>
        <w:pStyle w:val="ListParagraph"/>
        <w:ind w:left="1416"/>
        <w:rPr>
          <w:rFonts w:eastAsia="Times New Roman" w:cstheme="minorHAnsi"/>
          <w:i/>
          <w:iCs/>
          <w:lang w:val="nl-BE"/>
        </w:rPr>
      </w:pPr>
    </w:p>
    <w:p w14:paraId="3C7C3FFA" w14:textId="77777777" w:rsidR="006774D0" w:rsidRDefault="006A598D" w:rsidP="006774D0">
      <w:pPr>
        <w:pStyle w:val="ListParagraph"/>
        <w:ind w:left="1416"/>
        <w:rPr>
          <w:rFonts w:eastAsia="Times New Roman" w:cstheme="minorHAnsi"/>
          <w:i/>
          <w:iCs/>
          <w:lang w:val="nl-BE"/>
        </w:rPr>
      </w:pPr>
      <w:r w:rsidRPr="006A598D">
        <w:rPr>
          <w:rFonts w:eastAsia="Times New Roman" w:cstheme="minorHAnsi"/>
          <w:i/>
          <w:iCs/>
          <w:lang w:val="nl-BE"/>
        </w:rPr>
        <w:t>Hemolyse</w:t>
      </w:r>
    </w:p>
    <w:p w14:paraId="4CBB3EA1" w14:textId="66328DF1" w:rsidR="00633488" w:rsidRPr="006A598D" w:rsidRDefault="006A598D" w:rsidP="006774D0">
      <w:pPr>
        <w:pStyle w:val="ListParagraph"/>
        <w:ind w:left="1416"/>
        <w:rPr>
          <w:sz w:val="24"/>
          <w:szCs w:val="24"/>
          <w:lang w:val="nl-NL"/>
        </w:rPr>
      </w:pPr>
      <w:r>
        <w:rPr>
          <w:rFonts w:eastAsia="Times New Roman" w:cstheme="minorHAnsi"/>
          <w:lang w:val="nl-BE"/>
        </w:rPr>
        <w:t>Er is een theoretisch risico op hemolyse. In klinische studies en post</w:t>
      </w:r>
      <w:r>
        <w:rPr>
          <w:rFonts w:ascii="Cambria Math" w:eastAsia="Times New Roman" w:hAnsi="Cambria Math" w:cs="Cambria Math"/>
          <w:lang w:val="nl-BE"/>
        </w:rPr>
        <w:noBreakHyphen/>
      </w:r>
      <w:proofErr w:type="gramStart"/>
      <w:r>
        <w:rPr>
          <w:rFonts w:eastAsia="Times New Roman" w:cstheme="minorHAnsi"/>
          <w:lang w:val="nl-BE"/>
        </w:rPr>
        <w:t>marketing veiligheidsdata</w:t>
      </w:r>
      <w:proofErr w:type="gramEnd"/>
      <w:r>
        <w:rPr>
          <w:rFonts w:eastAsia="Times New Roman" w:cstheme="minorHAnsi"/>
          <w:lang w:val="nl-BE"/>
        </w:rPr>
        <w:t xml:space="preserve"> zal continue monitoring op dit veiligheidssignaal plaatsvinden.</w:t>
      </w:r>
    </w:p>
    <w:p w14:paraId="303A8189" w14:textId="77777777" w:rsidR="00633488" w:rsidRPr="006A598D" w:rsidRDefault="00633488" w:rsidP="00633488">
      <w:pPr>
        <w:pStyle w:val="NoSpacing"/>
        <w:rPr>
          <w:sz w:val="24"/>
          <w:szCs w:val="24"/>
          <w:lang w:val="nl-NL"/>
        </w:rPr>
      </w:pPr>
    </w:p>
    <w:p w14:paraId="7A24EAA4" w14:textId="4F884042" w:rsidR="00633488" w:rsidRPr="00633488" w:rsidRDefault="00633488" w:rsidP="00633488">
      <w:pPr>
        <w:pStyle w:val="NoSpacing"/>
        <w:numPr>
          <w:ilvl w:val="1"/>
          <w:numId w:val="2"/>
        </w:numPr>
        <w:rPr>
          <w:color w:val="002060"/>
          <w:sz w:val="24"/>
          <w:szCs w:val="24"/>
          <w:u w:val="single"/>
        </w:rPr>
      </w:pPr>
      <w:proofErr w:type="spellStart"/>
      <w:r w:rsidRPr="00633488">
        <w:rPr>
          <w:color w:val="002060"/>
          <w:sz w:val="24"/>
          <w:szCs w:val="24"/>
          <w:u w:val="single"/>
        </w:rPr>
        <w:t>Nierinsufficiëntie</w:t>
      </w:r>
      <w:proofErr w:type="spellEnd"/>
    </w:p>
    <w:p w14:paraId="3915F580" w14:textId="2AEC8E20" w:rsidR="00633488" w:rsidRPr="006774D0" w:rsidRDefault="006774D0" w:rsidP="006774D0">
      <w:pPr>
        <w:pStyle w:val="NoSpacing"/>
        <w:ind w:left="1440"/>
        <w:rPr>
          <w:sz w:val="24"/>
          <w:szCs w:val="24"/>
          <w:lang w:val="nl-NL"/>
        </w:rPr>
      </w:pPr>
      <w:r w:rsidRPr="6503EA4F">
        <w:rPr>
          <w:lang w:val="nl-NL"/>
        </w:rPr>
        <w:t xml:space="preserve">Er is geen formeel onderzoek gedaan naar daratumumab bij patiënten met nierinsufficiëntie. Op basis van </w:t>
      </w:r>
      <w:proofErr w:type="spellStart"/>
      <w:r w:rsidRPr="6503EA4F">
        <w:rPr>
          <w:lang w:val="nl-NL"/>
        </w:rPr>
        <w:t>populatiefarmacokinetische</w:t>
      </w:r>
      <w:proofErr w:type="spellEnd"/>
      <w:r w:rsidRPr="6503EA4F">
        <w:rPr>
          <w:lang w:val="nl-NL"/>
        </w:rPr>
        <w:t xml:space="preserve"> analyses hoeft de dosis niet aangepast te worden voor patiënten met nierinsufficiëntie.</w:t>
      </w:r>
    </w:p>
    <w:p w14:paraId="07E3391D" w14:textId="77777777" w:rsidR="00633488" w:rsidRPr="006774D0" w:rsidRDefault="00633488" w:rsidP="00633488">
      <w:pPr>
        <w:pStyle w:val="NoSpacing"/>
        <w:rPr>
          <w:sz w:val="24"/>
          <w:szCs w:val="24"/>
          <w:lang w:val="nl-NL"/>
        </w:rPr>
      </w:pPr>
    </w:p>
    <w:p w14:paraId="754A8897" w14:textId="27C863F5" w:rsidR="00633488" w:rsidRPr="00633488" w:rsidRDefault="00633488" w:rsidP="00633488">
      <w:pPr>
        <w:pStyle w:val="NoSpacing"/>
        <w:numPr>
          <w:ilvl w:val="1"/>
          <w:numId w:val="2"/>
        </w:numPr>
        <w:rPr>
          <w:color w:val="002060"/>
          <w:sz w:val="24"/>
          <w:szCs w:val="24"/>
          <w:u w:val="single"/>
        </w:rPr>
      </w:pPr>
      <w:proofErr w:type="spellStart"/>
      <w:r w:rsidRPr="00633488">
        <w:rPr>
          <w:color w:val="002060"/>
          <w:sz w:val="24"/>
          <w:szCs w:val="24"/>
          <w:u w:val="single"/>
        </w:rPr>
        <w:t>Leverinsufficiëntie</w:t>
      </w:r>
      <w:proofErr w:type="spellEnd"/>
    </w:p>
    <w:p w14:paraId="4DAF8332" w14:textId="2BDC0FDF" w:rsidR="00633488" w:rsidRPr="006774D0" w:rsidRDefault="006774D0" w:rsidP="006774D0">
      <w:pPr>
        <w:pStyle w:val="NoSpacing"/>
        <w:ind w:left="1440"/>
        <w:rPr>
          <w:sz w:val="24"/>
          <w:szCs w:val="24"/>
          <w:lang w:val="nl-NL"/>
        </w:rPr>
      </w:pPr>
      <w:r w:rsidRPr="58069F99">
        <w:rPr>
          <w:lang w:val="nl-NL"/>
        </w:rPr>
        <w:t>Er is geen formeel onderzoek gedaan naar daratumumab bij patiënten met leverinsufficiëntie. De dosis hoeft niet aangepast te worden voor patiënten met leverinsufficiëntie.</w:t>
      </w:r>
    </w:p>
    <w:p w14:paraId="490B083F" w14:textId="77777777" w:rsidR="00633488" w:rsidRPr="006774D0" w:rsidRDefault="00633488" w:rsidP="00633488">
      <w:pPr>
        <w:pStyle w:val="NoSpacing"/>
        <w:rPr>
          <w:sz w:val="24"/>
          <w:szCs w:val="24"/>
          <w:lang w:val="nl-NL"/>
        </w:rPr>
      </w:pPr>
    </w:p>
    <w:p w14:paraId="243F346A" w14:textId="77777777" w:rsidR="006A3C95" w:rsidRPr="007C5272" w:rsidRDefault="006A3C95">
      <w:pPr>
        <w:rPr>
          <w:b/>
          <w:bCs/>
          <w:color w:val="002060"/>
          <w:sz w:val="24"/>
          <w:szCs w:val="24"/>
        </w:rPr>
      </w:pPr>
      <w:r>
        <w:rPr>
          <w:b/>
          <w:bCs/>
          <w:color w:val="002060"/>
          <w:sz w:val="24"/>
          <w:szCs w:val="24"/>
        </w:rPr>
        <w:br w:type="page"/>
      </w:r>
    </w:p>
    <w:p w14:paraId="4767022A" w14:textId="5045E3C1" w:rsidR="00633488" w:rsidRPr="00633488" w:rsidRDefault="00633488" w:rsidP="00633488">
      <w:pPr>
        <w:pStyle w:val="NoSpacing"/>
        <w:numPr>
          <w:ilvl w:val="0"/>
          <w:numId w:val="2"/>
        </w:numPr>
        <w:rPr>
          <w:b/>
          <w:bCs/>
          <w:color w:val="002060"/>
          <w:sz w:val="24"/>
          <w:szCs w:val="24"/>
        </w:rPr>
      </w:pPr>
      <w:proofErr w:type="spellStart"/>
      <w:r w:rsidRPr="00633488">
        <w:rPr>
          <w:b/>
          <w:bCs/>
          <w:color w:val="002060"/>
          <w:sz w:val="24"/>
          <w:szCs w:val="24"/>
        </w:rPr>
        <w:lastRenderedPageBreak/>
        <w:t>Bronnen</w:t>
      </w:r>
      <w:proofErr w:type="spellEnd"/>
      <w:r w:rsidR="0047248F">
        <w:rPr>
          <w:b/>
          <w:bCs/>
          <w:color w:val="002060"/>
          <w:sz w:val="24"/>
          <w:szCs w:val="24"/>
        </w:rPr>
        <w:t>/</w:t>
      </w:r>
      <w:proofErr w:type="spellStart"/>
      <w:r w:rsidR="0047248F">
        <w:rPr>
          <w:b/>
          <w:bCs/>
          <w:color w:val="002060"/>
          <w:sz w:val="24"/>
          <w:szCs w:val="24"/>
        </w:rPr>
        <w:t>referenties</w:t>
      </w:r>
      <w:proofErr w:type="spellEnd"/>
    </w:p>
    <w:p w14:paraId="3855F52A" w14:textId="54AB23C6" w:rsidR="00633488" w:rsidRDefault="00633488" w:rsidP="00633488">
      <w:pPr>
        <w:pStyle w:val="NoSpacing"/>
        <w:rPr>
          <w:sz w:val="24"/>
          <w:szCs w:val="24"/>
        </w:rPr>
      </w:pPr>
    </w:p>
    <w:p w14:paraId="448842C3" w14:textId="7E56E2BF" w:rsidR="00633488" w:rsidRPr="00262CEC" w:rsidRDefault="005003C0" w:rsidP="005003C0">
      <w:pPr>
        <w:pStyle w:val="NoSpacing"/>
        <w:numPr>
          <w:ilvl w:val="0"/>
          <w:numId w:val="5"/>
        </w:numPr>
      </w:pPr>
      <w:r w:rsidRPr="00262CEC">
        <w:t>SmPC Darzalex (</w:t>
      </w:r>
      <w:hyperlink r:id="rId11" w:history="1">
        <w:r w:rsidRPr="00262CEC">
          <w:rPr>
            <w:rStyle w:val="Hyperlink"/>
          </w:rPr>
          <w:t>https://www.janssen.com/netherlands/sites/www_janssen_com_netherlands/files/darzalex_spc.pdf</w:t>
        </w:r>
      </w:hyperlink>
      <w:r w:rsidRPr="00262CEC">
        <w:t>)</w:t>
      </w:r>
    </w:p>
    <w:p w14:paraId="17EBE19A" w14:textId="77777777" w:rsidR="00401DE0" w:rsidRPr="00262CEC" w:rsidRDefault="00401DE0" w:rsidP="00401DE0">
      <w:pPr>
        <w:pStyle w:val="NoSpacing"/>
        <w:numPr>
          <w:ilvl w:val="0"/>
          <w:numId w:val="5"/>
        </w:numPr>
      </w:pPr>
      <w:r w:rsidRPr="00262CEC">
        <w:t xml:space="preserve">SmPC </w:t>
      </w:r>
      <w:proofErr w:type="spellStart"/>
      <w:r w:rsidRPr="00262CEC">
        <w:t>Imnovid</w:t>
      </w:r>
      <w:proofErr w:type="spellEnd"/>
      <w:r w:rsidRPr="00262CEC">
        <w:t xml:space="preserve"> </w:t>
      </w:r>
    </w:p>
    <w:p w14:paraId="4F3AA218" w14:textId="77777777" w:rsidR="00401DE0" w:rsidRPr="00262CEC" w:rsidRDefault="00401DE0" w:rsidP="00401DE0">
      <w:pPr>
        <w:pStyle w:val="NoSpacing"/>
        <w:ind w:left="1068"/>
      </w:pPr>
      <w:r w:rsidRPr="00262CEC">
        <w:t>(</w:t>
      </w:r>
      <w:hyperlink r:id="rId12" w:history="1">
        <w:r w:rsidRPr="00262CEC">
          <w:rPr>
            <w:rStyle w:val="Hyperlink"/>
          </w:rPr>
          <w:t>https://www.ema.europa.eu/en/documents/product-information/imnovid-epar-product-information_nl.pdf</w:t>
        </w:r>
      </w:hyperlink>
      <w:r w:rsidRPr="00262CEC">
        <w:t>)</w:t>
      </w:r>
    </w:p>
    <w:p w14:paraId="278ED411" w14:textId="77777777" w:rsidR="001A5F77" w:rsidRPr="00262CEC" w:rsidRDefault="005003C0" w:rsidP="005003C0">
      <w:pPr>
        <w:pStyle w:val="NoSpacing"/>
        <w:numPr>
          <w:ilvl w:val="0"/>
          <w:numId w:val="5"/>
        </w:numPr>
        <w:rPr>
          <w:lang w:val="nl-NL"/>
        </w:rPr>
      </w:pPr>
      <w:proofErr w:type="spellStart"/>
      <w:r w:rsidRPr="00262CEC">
        <w:rPr>
          <w:lang w:val="nl-NL"/>
        </w:rPr>
        <w:t>SmPC</w:t>
      </w:r>
      <w:proofErr w:type="spellEnd"/>
      <w:r w:rsidRPr="00262CEC">
        <w:rPr>
          <w:lang w:val="nl-NL"/>
        </w:rPr>
        <w:t xml:space="preserve"> </w:t>
      </w:r>
      <w:r w:rsidR="001A5F77" w:rsidRPr="00262CEC">
        <w:rPr>
          <w:rStyle w:val="eop"/>
          <w:rFonts w:ascii="Calibri" w:hAnsi="Calibri" w:cs="Calibri"/>
          <w:lang w:val="nl-NL"/>
        </w:rPr>
        <w:t>dexamethason</w:t>
      </w:r>
      <w:r w:rsidRPr="00262CEC">
        <w:rPr>
          <w:lang w:val="nl-NL"/>
        </w:rPr>
        <w:t xml:space="preserve"> </w:t>
      </w:r>
    </w:p>
    <w:p w14:paraId="1ABD03AA" w14:textId="2A8E1380" w:rsidR="005003C0" w:rsidRPr="00262CEC" w:rsidRDefault="005003C0" w:rsidP="001A5F77">
      <w:pPr>
        <w:pStyle w:val="NoSpacing"/>
        <w:ind w:left="1068"/>
        <w:rPr>
          <w:lang w:val="nl-NL"/>
        </w:rPr>
      </w:pPr>
      <w:r w:rsidRPr="00262CEC">
        <w:rPr>
          <w:lang w:val="nl-NL"/>
        </w:rPr>
        <w:t>(</w:t>
      </w:r>
      <w:r w:rsidR="001A5F77" w:rsidRPr="00262CEC">
        <w:rPr>
          <w:lang w:val="nl-NL"/>
        </w:rPr>
        <w:t xml:space="preserve">Er bestaan verschillende producten met de werkzame stof dexamethason. Bekijk de </w:t>
      </w:r>
      <w:proofErr w:type="spellStart"/>
      <w:r w:rsidR="001A5F77" w:rsidRPr="00262CEC">
        <w:rPr>
          <w:lang w:val="nl-NL"/>
        </w:rPr>
        <w:t>SmPC</w:t>
      </w:r>
      <w:proofErr w:type="spellEnd"/>
      <w:r w:rsidR="001A5F77" w:rsidRPr="00262CEC">
        <w:rPr>
          <w:lang w:val="nl-NL"/>
        </w:rPr>
        <w:t xml:space="preserve"> van het gebruikte product op: </w:t>
      </w:r>
      <w:r w:rsidR="00D57BBE">
        <w:fldChar w:fldCharType="begin"/>
      </w:r>
      <w:r w:rsidR="00D57BBE" w:rsidRPr="00D57BBE">
        <w:rPr>
          <w:lang w:val="nl-NL"/>
        </w:rPr>
        <w:instrText>HYPERLINK "https://www.geneesmiddeleninformatiebank.nl/"</w:instrText>
      </w:r>
      <w:r w:rsidR="00D57BBE">
        <w:fldChar w:fldCharType="separate"/>
      </w:r>
      <w:r w:rsidR="001A5F77" w:rsidRPr="00262CEC">
        <w:rPr>
          <w:rStyle w:val="Hyperlink"/>
          <w:lang w:val="nl-NL"/>
        </w:rPr>
        <w:t>https://www.geneesmiddeleninformatiebank.nl/</w:t>
      </w:r>
      <w:r w:rsidR="00D57BBE">
        <w:rPr>
          <w:rStyle w:val="Hyperlink"/>
          <w:lang w:val="nl-NL"/>
        </w:rPr>
        <w:fldChar w:fldCharType="end"/>
      </w:r>
      <w:r w:rsidRPr="00262CEC">
        <w:rPr>
          <w:lang w:val="nl-NL"/>
        </w:rPr>
        <w:t>)</w:t>
      </w:r>
    </w:p>
    <w:p w14:paraId="6E7CE24C" w14:textId="77777777" w:rsidR="001A5F77" w:rsidRPr="00262CEC" w:rsidRDefault="001A5F77" w:rsidP="001A5F77">
      <w:pPr>
        <w:pStyle w:val="NoSpacing"/>
        <w:numPr>
          <w:ilvl w:val="0"/>
          <w:numId w:val="5"/>
        </w:numPr>
        <w:rPr>
          <w:lang w:val="nl-NL"/>
        </w:rPr>
      </w:pPr>
      <w:r w:rsidRPr="00262CEC">
        <w:rPr>
          <w:rStyle w:val="eop"/>
          <w:rFonts w:ascii="Calibri" w:hAnsi="Calibri" w:cs="Calibri"/>
          <w:lang w:val="nl-NL"/>
        </w:rPr>
        <w:t>Farmacotherapeutisch</w:t>
      </w:r>
      <w:r w:rsidRPr="00262CEC">
        <w:rPr>
          <w:lang w:val="nl-NL"/>
        </w:rPr>
        <w:t xml:space="preserve"> Kompas </w:t>
      </w:r>
    </w:p>
    <w:p w14:paraId="472E4AAE" w14:textId="0693C86E" w:rsidR="001A5F77" w:rsidRPr="00262CEC" w:rsidRDefault="001A5F77" w:rsidP="001A5F77">
      <w:pPr>
        <w:pStyle w:val="NoSpacing"/>
        <w:ind w:left="1068"/>
        <w:rPr>
          <w:lang w:val="nl-NL"/>
        </w:rPr>
      </w:pPr>
      <w:r w:rsidRPr="00262CEC">
        <w:rPr>
          <w:lang w:val="nl-NL"/>
        </w:rPr>
        <w:t>(</w:t>
      </w:r>
      <w:hyperlink r:id="rId13" w:history="1">
        <w:r w:rsidRPr="00262CEC">
          <w:rPr>
            <w:rStyle w:val="Hyperlink"/>
            <w:lang w:val="nl-NL"/>
          </w:rPr>
          <w:t>https://www.farmacotherapeutischkompas.nl/</w:t>
        </w:r>
      </w:hyperlink>
      <w:r w:rsidRPr="00262CEC">
        <w:rPr>
          <w:lang w:val="nl-NL"/>
        </w:rPr>
        <w:t>)</w:t>
      </w:r>
    </w:p>
    <w:p w14:paraId="23595E09" w14:textId="77777777" w:rsidR="001A5F77" w:rsidRPr="00262CEC" w:rsidRDefault="001A5F77" w:rsidP="001A5F77">
      <w:pPr>
        <w:pStyle w:val="NoSpacing"/>
        <w:numPr>
          <w:ilvl w:val="0"/>
          <w:numId w:val="5"/>
        </w:numPr>
        <w:rPr>
          <w:lang w:val="nl-NL"/>
        </w:rPr>
      </w:pPr>
      <w:proofErr w:type="gramStart"/>
      <w:r w:rsidRPr="00262CEC">
        <w:rPr>
          <w:lang w:val="nl-NL"/>
        </w:rPr>
        <w:t>HOVON richtlijn</w:t>
      </w:r>
      <w:proofErr w:type="gramEnd"/>
      <w:r w:rsidRPr="00262CEC">
        <w:rPr>
          <w:lang w:val="nl-NL"/>
        </w:rPr>
        <w:t xml:space="preserve"> multipel myeloom </w:t>
      </w:r>
    </w:p>
    <w:p w14:paraId="55F3BF64" w14:textId="66FBD498" w:rsidR="001A5F77" w:rsidRPr="00262CEC" w:rsidRDefault="001A5F77" w:rsidP="001A5F77">
      <w:pPr>
        <w:pStyle w:val="NoSpacing"/>
        <w:ind w:left="1068"/>
        <w:rPr>
          <w:lang w:val="nl-NL"/>
        </w:rPr>
      </w:pPr>
      <w:r w:rsidRPr="00262CEC">
        <w:rPr>
          <w:lang w:val="nl-NL"/>
        </w:rPr>
        <w:t>(</w:t>
      </w:r>
      <w:r w:rsidR="00D57BBE">
        <w:fldChar w:fldCharType="begin"/>
      </w:r>
      <w:r w:rsidR="00D57BBE" w:rsidRPr="00D57BBE">
        <w:rPr>
          <w:lang w:val="nl-NL"/>
        </w:rPr>
        <w:instrText>HYPERLINK "https://hovon.nl/nl/behandelrichtlijnen/myeloom"</w:instrText>
      </w:r>
      <w:r w:rsidR="00D57BBE">
        <w:fldChar w:fldCharType="separate"/>
      </w:r>
      <w:r w:rsidRPr="00262CEC">
        <w:rPr>
          <w:rStyle w:val="Hyperlink"/>
          <w:lang w:val="nl-NL"/>
        </w:rPr>
        <w:t>https://hovon.nl/nl/behandelrichtlijnen/myeloom</w:t>
      </w:r>
      <w:r w:rsidR="00D57BBE">
        <w:rPr>
          <w:rStyle w:val="Hyperlink"/>
          <w:lang w:val="nl-NL"/>
        </w:rPr>
        <w:fldChar w:fldCharType="end"/>
      </w:r>
      <w:r w:rsidRPr="00262CEC">
        <w:rPr>
          <w:lang w:val="nl-NL"/>
        </w:rPr>
        <w:t>)</w:t>
      </w:r>
    </w:p>
    <w:p w14:paraId="6617C892" w14:textId="57462DA9" w:rsidR="007C5272" w:rsidRPr="00262CEC" w:rsidRDefault="007C5272" w:rsidP="007C5272">
      <w:pPr>
        <w:pStyle w:val="NoSpacing"/>
        <w:numPr>
          <w:ilvl w:val="0"/>
          <w:numId w:val="5"/>
        </w:numPr>
        <w:rPr>
          <w:lang w:val="nl-NL"/>
        </w:rPr>
      </w:pPr>
      <w:proofErr w:type="spellStart"/>
      <w:r w:rsidRPr="00262CEC">
        <w:rPr>
          <w:lang w:val="nl-NL"/>
        </w:rPr>
        <w:t>Dimopoulos</w:t>
      </w:r>
      <w:proofErr w:type="spellEnd"/>
      <w:r w:rsidRPr="00262CEC">
        <w:rPr>
          <w:lang w:val="nl-NL"/>
        </w:rPr>
        <w:t xml:space="preserve"> </w:t>
      </w:r>
      <w:r w:rsidRPr="00262CEC">
        <w:rPr>
          <w:i/>
          <w:iCs/>
          <w:lang w:val="nl-NL"/>
        </w:rPr>
        <w:t>et al.</w:t>
      </w:r>
      <w:r w:rsidRPr="00262CEC">
        <w:rPr>
          <w:lang w:val="nl-NL"/>
        </w:rPr>
        <w:t xml:space="preserve"> Lancet </w:t>
      </w:r>
      <w:proofErr w:type="spellStart"/>
      <w:r w:rsidRPr="00262CEC">
        <w:rPr>
          <w:lang w:val="nl-NL"/>
        </w:rPr>
        <w:t>Oncol</w:t>
      </w:r>
      <w:proofErr w:type="spellEnd"/>
      <w:r w:rsidRPr="00262CEC">
        <w:rPr>
          <w:lang w:val="nl-NL"/>
        </w:rPr>
        <w:t>. 2021 Jun;22(6):801-812</w:t>
      </w:r>
    </w:p>
    <w:p w14:paraId="28C85096" w14:textId="38B5BF66" w:rsidR="00633488" w:rsidRDefault="00633488" w:rsidP="00633488">
      <w:pPr>
        <w:pStyle w:val="NoSpacing"/>
        <w:rPr>
          <w:sz w:val="24"/>
          <w:szCs w:val="24"/>
          <w:lang w:val="nl-NL"/>
        </w:rPr>
      </w:pPr>
    </w:p>
    <w:p w14:paraId="2F7C7D0E" w14:textId="77777777" w:rsidR="006A3C95" w:rsidRPr="001A5F77" w:rsidRDefault="006A3C95" w:rsidP="00633488">
      <w:pPr>
        <w:pStyle w:val="NoSpacing"/>
        <w:rPr>
          <w:sz w:val="24"/>
          <w:szCs w:val="24"/>
          <w:lang w:val="nl-NL"/>
        </w:rPr>
      </w:pPr>
    </w:p>
    <w:p w14:paraId="55CAE218" w14:textId="7840E856" w:rsidR="00633488" w:rsidRPr="00633488" w:rsidRDefault="00633488" w:rsidP="00633488">
      <w:pPr>
        <w:pStyle w:val="NoSpacing"/>
        <w:numPr>
          <w:ilvl w:val="0"/>
          <w:numId w:val="2"/>
        </w:numPr>
        <w:rPr>
          <w:b/>
          <w:bCs/>
          <w:color w:val="002060"/>
          <w:sz w:val="24"/>
          <w:szCs w:val="24"/>
        </w:rPr>
      </w:pPr>
      <w:proofErr w:type="spellStart"/>
      <w:r w:rsidRPr="00633488">
        <w:rPr>
          <w:b/>
          <w:bCs/>
          <w:color w:val="002060"/>
          <w:sz w:val="24"/>
          <w:szCs w:val="24"/>
        </w:rPr>
        <w:t>Contactgegevens</w:t>
      </w:r>
      <w:proofErr w:type="spellEnd"/>
      <w:r w:rsidRPr="00633488">
        <w:rPr>
          <w:b/>
          <w:bCs/>
          <w:color w:val="002060"/>
          <w:sz w:val="24"/>
          <w:szCs w:val="24"/>
        </w:rPr>
        <w:t xml:space="preserve"> Janssen</w:t>
      </w:r>
    </w:p>
    <w:p w14:paraId="66C90AA7" w14:textId="77777777" w:rsidR="006774D0" w:rsidRDefault="006774D0" w:rsidP="006774D0">
      <w:pPr>
        <w:pStyle w:val="NoSpacing"/>
        <w:ind w:left="720"/>
        <w:rPr>
          <w:b/>
          <w:bCs/>
          <w:lang w:val="nl-NL"/>
        </w:rPr>
      </w:pPr>
    </w:p>
    <w:p w14:paraId="4ED184CF" w14:textId="668DFAD8" w:rsidR="006774D0" w:rsidRPr="006774D0" w:rsidRDefault="006774D0" w:rsidP="006774D0">
      <w:pPr>
        <w:pStyle w:val="NoSpacing"/>
        <w:ind w:left="720"/>
        <w:rPr>
          <w:b/>
          <w:bCs/>
          <w:lang w:val="nl-NL"/>
        </w:rPr>
      </w:pPr>
      <w:r w:rsidRPr="006774D0">
        <w:rPr>
          <w:b/>
          <w:bCs/>
          <w:lang w:val="nl-NL"/>
        </w:rPr>
        <w:t>Janssen</w:t>
      </w:r>
      <w:r>
        <w:rPr>
          <w:b/>
          <w:bCs/>
          <w:lang w:val="nl-NL"/>
        </w:rPr>
        <w:t>-Cilag B.V.</w:t>
      </w:r>
    </w:p>
    <w:p w14:paraId="56E0D50F" w14:textId="77777777" w:rsidR="006774D0" w:rsidRPr="006774D0" w:rsidRDefault="006774D0" w:rsidP="006774D0">
      <w:pPr>
        <w:pStyle w:val="NoSpacing"/>
        <w:ind w:left="720"/>
        <w:rPr>
          <w:lang w:val="nl-NL"/>
        </w:rPr>
      </w:pPr>
      <w:r w:rsidRPr="006774D0">
        <w:rPr>
          <w:lang w:val="nl-NL"/>
        </w:rPr>
        <w:t>Graaf Engelbertlaan 75</w:t>
      </w:r>
    </w:p>
    <w:p w14:paraId="0A5A94D1" w14:textId="77777777" w:rsidR="006774D0" w:rsidRPr="006774D0" w:rsidRDefault="006774D0" w:rsidP="006774D0">
      <w:pPr>
        <w:pStyle w:val="NoSpacing"/>
        <w:ind w:left="720"/>
        <w:rPr>
          <w:lang w:val="nl-NL"/>
        </w:rPr>
      </w:pPr>
      <w:r w:rsidRPr="006774D0">
        <w:rPr>
          <w:lang w:val="nl-NL"/>
        </w:rPr>
        <w:t>4837 DS Breda</w:t>
      </w:r>
    </w:p>
    <w:p w14:paraId="500BCCC6" w14:textId="77777777" w:rsidR="006774D0" w:rsidRPr="006774D0" w:rsidRDefault="006774D0" w:rsidP="006774D0">
      <w:pPr>
        <w:pStyle w:val="NoSpacing"/>
        <w:ind w:left="720"/>
        <w:rPr>
          <w:lang w:val="nl-NL"/>
        </w:rPr>
      </w:pPr>
      <w:r w:rsidRPr="006774D0">
        <w:rPr>
          <w:lang w:val="nl-NL"/>
        </w:rPr>
        <w:t>0800-2424242</w:t>
      </w:r>
    </w:p>
    <w:p w14:paraId="6FBBA044" w14:textId="0973ACE9" w:rsidR="006774D0" w:rsidRPr="006774D0" w:rsidRDefault="00D57BBE" w:rsidP="006774D0">
      <w:pPr>
        <w:pStyle w:val="NoSpacing"/>
        <w:ind w:left="720"/>
        <w:rPr>
          <w:lang w:val="nl-NL"/>
        </w:rPr>
      </w:pPr>
      <w:hyperlink r:id="rId14" w:history="1">
        <w:r w:rsidR="006774D0" w:rsidRPr="006774D0">
          <w:rPr>
            <w:rStyle w:val="Hyperlink"/>
            <w:lang w:val="nl-NL"/>
          </w:rPr>
          <w:t>www.janssen.com/Nederland</w:t>
        </w:r>
      </w:hyperlink>
    </w:p>
    <w:p w14:paraId="5FA5CBCD" w14:textId="768863AB" w:rsidR="00633488" w:rsidRPr="006774D0" w:rsidRDefault="00633488" w:rsidP="00633488">
      <w:pPr>
        <w:pStyle w:val="NoSpacing"/>
        <w:rPr>
          <w:sz w:val="24"/>
          <w:szCs w:val="24"/>
          <w:lang w:val="nl-NL"/>
        </w:rPr>
      </w:pPr>
    </w:p>
    <w:p w14:paraId="1358F3B7" w14:textId="77777777" w:rsidR="00633488" w:rsidRPr="006774D0" w:rsidRDefault="00633488" w:rsidP="00633488">
      <w:pPr>
        <w:pStyle w:val="NoSpacing"/>
        <w:rPr>
          <w:sz w:val="24"/>
          <w:szCs w:val="24"/>
          <w:lang w:val="nl-NL"/>
        </w:rPr>
      </w:pPr>
    </w:p>
    <w:p w14:paraId="63508E94" w14:textId="77777777" w:rsidR="00633488" w:rsidRPr="00633488" w:rsidRDefault="00633488" w:rsidP="00633488">
      <w:pPr>
        <w:pStyle w:val="NoSpacing"/>
        <w:numPr>
          <w:ilvl w:val="0"/>
          <w:numId w:val="2"/>
        </w:numPr>
        <w:rPr>
          <w:b/>
          <w:bCs/>
          <w:color w:val="002060"/>
          <w:sz w:val="24"/>
          <w:szCs w:val="24"/>
        </w:rPr>
      </w:pPr>
      <w:r w:rsidRPr="00633488">
        <w:rPr>
          <w:b/>
          <w:bCs/>
          <w:color w:val="002060"/>
          <w:sz w:val="24"/>
          <w:szCs w:val="24"/>
        </w:rPr>
        <w:t>Disclaimer</w:t>
      </w:r>
    </w:p>
    <w:p w14:paraId="54640481" w14:textId="6FDD0C54" w:rsidR="00633488" w:rsidRDefault="00F2511B" w:rsidP="00F2511B">
      <w:pPr>
        <w:ind w:left="360"/>
      </w:pPr>
      <w:r w:rsidRPr="00F2511B">
        <w:t xml:space="preserve">Dit protocol is bedoeld als ondersteuning bij het maken van een ziekenhuis protocol. </w:t>
      </w:r>
      <w:r>
        <w:t xml:space="preserve">De informatie in dit protocol is in lijn met de </w:t>
      </w:r>
      <w:proofErr w:type="spellStart"/>
      <w:r>
        <w:t>SmPC</w:t>
      </w:r>
      <w:proofErr w:type="spellEnd"/>
      <w:r>
        <w:t xml:space="preserve"> van Darzalex® SC. Als hiervan wordt afgeweken omdat een andere bron wordt gebruikt, wordt hiernaar verwezen </w:t>
      </w:r>
      <w:proofErr w:type="gramStart"/>
      <w:r>
        <w:t>middels</w:t>
      </w:r>
      <w:proofErr w:type="gramEnd"/>
      <w:r>
        <w:t xml:space="preserve"> een referentie. </w:t>
      </w:r>
      <w:r w:rsidRPr="00F2511B">
        <w:t>De informatie uit dit bestand is onderhevig aan verandering en zodoende kan men hier geen rechten aan worden ontleend. Controleer altijd de meest recente informatie in de gebruikte bronnen</w:t>
      </w:r>
      <w:r>
        <w:t xml:space="preserve">. </w:t>
      </w:r>
    </w:p>
    <w:p w14:paraId="212ABAEF" w14:textId="71FE4C70" w:rsidR="00F2511B" w:rsidRDefault="00F2511B" w:rsidP="00F2511B">
      <w:pPr>
        <w:ind w:left="360"/>
      </w:pPr>
    </w:p>
    <w:p w14:paraId="43C7506F" w14:textId="506593F5" w:rsidR="00CB191A" w:rsidRDefault="00CB191A" w:rsidP="00F2511B">
      <w:pPr>
        <w:ind w:left="360"/>
      </w:pPr>
    </w:p>
    <w:p w14:paraId="63E9EB7A" w14:textId="1FFBA07B" w:rsidR="00CB191A" w:rsidRDefault="00CB191A" w:rsidP="00F2511B">
      <w:pPr>
        <w:ind w:left="360"/>
      </w:pPr>
    </w:p>
    <w:p w14:paraId="12680611" w14:textId="5C3C102B" w:rsidR="00756A2D" w:rsidRDefault="00756A2D" w:rsidP="00CB191A">
      <w:pPr>
        <w:ind w:left="360"/>
        <w:rPr>
          <w:sz w:val="32"/>
          <w:szCs w:val="32"/>
          <w:vertAlign w:val="superscript"/>
        </w:rPr>
      </w:pPr>
    </w:p>
    <w:p w14:paraId="0745188B" w14:textId="77777777" w:rsidR="006A3C95" w:rsidRDefault="006A3C95" w:rsidP="00CB191A">
      <w:pPr>
        <w:ind w:left="360"/>
        <w:rPr>
          <w:sz w:val="32"/>
          <w:szCs w:val="32"/>
          <w:vertAlign w:val="superscript"/>
        </w:rPr>
      </w:pPr>
    </w:p>
    <w:sectPr w:rsidR="006A3C95" w:rsidSect="009C0CB0">
      <w:headerReference w:type="default" r:id="rId15"/>
      <w:footerReference w:type="default" r:id="rId16"/>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D0D87" w14:textId="77777777" w:rsidR="00633488" w:rsidRDefault="00633488" w:rsidP="00633488">
      <w:pPr>
        <w:spacing w:after="0" w:line="240" w:lineRule="auto"/>
      </w:pPr>
      <w:r>
        <w:separator/>
      </w:r>
    </w:p>
  </w:endnote>
  <w:endnote w:type="continuationSeparator" w:id="0">
    <w:p w14:paraId="49CEA759" w14:textId="77777777" w:rsidR="00633488" w:rsidRDefault="00633488" w:rsidP="00633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87A6C" w14:textId="6B8B91C4" w:rsidR="0047248F" w:rsidRPr="00D8695D" w:rsidRDefault="00D8695D">
    <w:pPr>
      <w:pStyle w:val="Footer"/>
      <w:rPr>
        <w:color w:val="A6A6A6" w:themeColor="background1" w:themeShade="A6"/>
        <w:sz w:val="18"/>
        <w:szCs w:val="18"/>
        <w:lang w:val="en-US"/>
      </w:rPr>
    </w:pPr>
    <w:r w:rsidRPr="00D8695D">
      <w:rPr>
        <w:color w:val="A6A6A6" w:themeColor="background1" w:themeShade="A6"/>
        <w:sz w:val="18"/>
        <w:szCs w:val="18"/>
        <w:lang w:val="en-US"/>
      </w:rPr>
      <w:t>©Janssen-Cilag– EM-83371 – Approval date: 0</w:t>
    </w:r>
    <w:r w:rsidR="00347D5B">
      <w:rPr>
        <w:color w:val="A6A6A6" w:themeColor="background1" w:themeShade="A6"/>
        <w:sz w:val="18"/>
        <w:szCs w:val="18"/>
        <w:lang w:val="en-US"/>
      </w:rPr>
      <w:t>7</w:t>
    </w:r>
    <w:r w:rsidRPr="00D8695D">
      <w:rPr>
        <w:color w:val="A6A6A6" w:themeColor="background1" w:themeShade="A6"/>
        <w:sz w:val="18"/>
        <w:szCs w:val="18"/>
        <w:lang w:val="en-US"/>
      </w:rPr>
      <w:t>-20</w:t>
    </w:r>
    <w:r w:rsidR="00347D5B">
      <w:rPr>
        <w:color w:val="A6A6A6" w:themeColor="background1" w:themeShade="A6"/>
        <w:sz w:val="18"/>
        <w:szCs w:val="18"/>
        <w:lang w:val="en-US"/>
      </w:rPr>
      <w:t>23</w:t>
    </w:r>
  </w:p>
  <w:p w14:paraId="01C36B1C" w14:textId="7EF286E3" w:rsidR="00287236" w:rsidRPr="00287236" w:rsidRDefault="00F26558">
    <w:pPr>
      <w:pStyle w:val="Footer"/>
      <w:rPr>
        <w:color w:val="A6A6A6" w:themeColor="background1" w:themeShade="A6"/>
        <w:sz w:val="18"/>
        <w:szCs w:val="18"/>
      </w:rPr>
    </w:pPr>
    <w:proofErr w:type="spellStart"/>
    <w:r>
      <w:rPr>
        <w:color w:val="A6A6A6" w:themeColor="background1" w:themeShade="A6"/>
        <w:sz w:val="18"/>
        <w:szCs w:val="18"/>
      </w:rPr>
      <w:t>Dara</w:t>
    </w:r>
    <w:proofErr w:type="spellEnd"/>
    <w:r>
      <w:rPr>
        <w:color w:val="A6A6A6" w:themeColor="background1" w:themeShade="A6"/>
        <w:sz w:val="18"/>
        <w:szCs w:val="18"/>
      </w:rPr>
      <w:t>-</w:t>
    </w:r>
    <w:r w:rsidR="009C0CB0">
      <w:rPr>
        <w:color w:val="A6A6A6" w:themeColor="background1" w:themeShade="A6"/>
        <w:sz w:val="18"/>
        <w:szCs w:val="18"/>
      </w:rPr>
      <w:t>P</w:t>
    </w:r>
    <w:r>
      <w:rPr>
        <w:color w:val="A6A6A6" w:themeColor="background1" w:themeShade="A6"/>
        <w:sz w:val="18"/>
        <w:szCs w:val="18"/>
      </w:rPr>
      <w:t>d p</w:t>
    </w:r>
    <w:r w:rsidR="00287236" w:rsidRPr="00287236">
      <w:rPr>
        <w:color w:val="A6A6A6" w:themeColor="background1" w:themeShade="A6"/>
        <w:sz w:val="18"/>
        <w:szCs w:val="18"/>
      </w:rPr>
      <w:t xml:space="preserve">rotocol </w:t>
    </w:r>
    <w:r w:rsidR="00287236">
      <w:rPr>
        <w:color w:val="A6A6A6" w:themeColor="background1" w:themeShade="A6"/>
        <w:sz w:val="18"/>
        <w:szCs w:val="18"/>
      </w:rPr>
      <w:t>v</w:t>
    </w:r>
    <w:r w:rsidR="00287236" w:rsidRPr="00287236">
      <w:rPr>
        <w:color w:val="A6A6A6" w:themeColor="background1" w:themeShade="A6"/>
        <w:sz w:val="18"/>
        <w:szCs w:val="18"/>
      </w:rPr>
      <w:t>ersie</w:t>
    </w:r>
    <w:r w:rsidR="00287236">
      <w:rPr>
        <w:color w:val="A6A6A6" w:themeColor="background1" w:themeShade="A6"/>
        <w:sz w:val="18"/>
        <w:szCs w:val="18"/>
      </w:rPr>
      <w:t xml:space="preserve"> 1.</w:t>
    </w:r>
    <w:r w:rsidR="00347D5B">
      <w:rPr>
        <w:color w:val="A6A6A6" w:themeColor="background1" w:themeShade="A6"/>
        <w:sz w:val="18"/>
        <w:szCs w:val="18"/>
      </w:rPr>
      <w:t>2</w:t>
    </w:r>
    <w:r w:rsidR="00287236">
      <w:rPr>
        <w:color w:val="A6A6A6" w:themeColor="background1" w:themeShade="A6"/>
        <w:sz w:val="18"/>
        <w:szCs w:val="18"/>
      </w:rPr>
      <w:t xml:space="preserve"> Datum: </w:t>
    </w:r>
    <w:r w:rsidR="00347D5B">
      <w:rPr>
        <w:color w:val="A6A6A6" w:themeColor="background1" w:themeShade="A6"/>
        <w:sz w:val="18"/>
        <w:szCs w:val="18"/>
      </w:rPr>
      <w:t>18</w:t>
    </w:r>
    <w:r w:rsidR="00D8695D">
      <w:rPr>
        <w:color w:val="A6A6A6" w:themeColor="background1" w:themeShade="A6"/>
        <w:sz w:val="18"/>
        <w:szCs w:val="18"/>
      </w:rPr>
      <w:t>-0</w:t>
    </w:r>
    <w:r w:rsidR="00347D5B">
      <w:rPr>
        <w:color w:val="A6A6A6" w:themeColor="background1" w:themeShade="A6"/>
        <w:sz w:val="18"/>
        <w:szCs w:val="18"/>
      </w:rPr>
      <w:t>7</w:t>
    </w:r>
    <w:r w:rsidR="00287236" w:rsidRPr="00287236">
      <w:rPr>
        <w:color w:val="A6A6A6" w:themeColor="background1" w:themeShade="A6"/>
        <w:sz w:val="18"/>
        <w:szCs w:val="18"/>
      </w:rPr>
      <w:t>-202</w:t>
    </w:r>
    <w:r w:rsidR="00347D5B">
      <w:rPr>
        <w:color w:val="A6A6A6" w:themeColor="background1" w:themeShade="A6"/>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F39EC" w14:textId="77777777" w:rsidR="00633488" w:rsidRDefault="00633488" w:rsidP="00633488">
      <w:pPr>
        <w:spacing w:after="0" w:line="240" w:lineRule="auto"/>
      </w:pPr>
      <w:r>
        <w:separator/>
      </w:r>
    </w:p>
  </w:footnote>
  <w:footnote w:type="continuationSeparator" w:id="0">
    <w:p w14:paraId="16F018A2" w14:textId="77777777" w:rsidR="00633488" w:rsidRDefault="00633488" w:rsidP="006334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DA30" w14:textId="53CB19BB" w:rsidR="00633488" w:rsidRPr="00DA5975" w:rsidRDefault="00633488" w:rsidP="00F26558">
    <w:pPr>
      <w:pStyle w:val="NoSpacing"/>
      <w:rPr>
        <w:color w:val="AEAAAA" w:themeColor="background2" w:themeShade="BF"/>
        <w:sz w:val="18"/>
        <w:szCs w:val="18"/>
        <w:lang w:val="nl-NL"/>
      </w:rPr>
    </w:pPr>
    <w:r w:rsidRPr="00DA5975">
      <w:rPr>
        <w:color w:val="AEAAAA" w:themeColor="background2" w:themeShade="BF"/>
        <w:sz w:val="18"/>
        <w:szCs w:val="18"/>
        <w:lang w:val="nl-NL"/>
      </w:rPr>
      <w:t xml:space="preserve">Protocol </w:t>
    </w:r>
    <w:proofErr w:type="spellStart"/>
    <w:r w:rsidRPr="00454A11">
      <w:rPr>
        <w:color w:val="AEAAAA" w:themeColor="background2" w:themeShade="BF"/>
        <w:sz w:val="18"/>
        <w:szCs w:val="18"/>
        <w:lang w:val="nl-NL"/>
      </w:rPr>
      <w:t>Dara</w:t>
    </w:r>
    <w:proofErr w:type="spellEnd"/>
    <w:r w:rsidRPr="00454A11">
      <w:rPr>
        <w:color w:val="AEAAAA" w:themeColor="background2" w:themeShade="BF"/>
        <w:sz w:val="18"/>
        <w:szCs w:val="18"/>
        <w:lang w:val="nl-NL"/>
      </w:rPr>
      <w:t>-</w:t>
    </w:r>
    <w:r w:rsidR="00454A11" w:rsidRPr="00454A11">
      <w:rPr>
        <w:color w:val="AEAAAA" w:themeColor="background2" w:themeShade="BF"/>
        <w:sz w:val="18"/>
        <w:szCs w:val="18"/>
        <w:lang w:val="nl-NL"/>
      </w:rPr>
      <w:t>P</w:t>
    </w:r>
    <w:r w:rsidRPr="00454A11">
      <w:rPr>
        <w:color w:val="AEAAAA" w:themeColor="background2" w:themeShade="BF"/>
        <w:sz w:val="18"/>
        <w:szCs w:val="18"/>
        <w:lang w:val="nl-NL"/>
      </w:rPr>
      <w:t>d</w:t>
    </w:r>
    <w:r w:rsidRPr="00DA5975">
      <w:rPr>
        <w:color w:val="AEAAAA" w:themeColor="background2" w:themeShade="BF"/>
        <w:sz w:val="18"/>
        <w:szCs w:val="18"/>
        <w:lang w:val="nl-NL"/>
      </w:rPr>
      <w:t xml:space="preserve">: </w:t>
    </w:r>
    <w:bookmarkStart w:id="4" w:name="_Hlk90834777"/>
    <w:r w:rsidRPr="00DA5975">
      <w:rPr>
        <w:color w:val="AEAAAA" w:themeColor="background2" w:themeShade="BF"/>
        <w:sz w:val="18"/>
        <w:szCs w:val="18"/>
        <w:lang w:val="nl-NL"/>
      </w:rPr>
      <w:t>Behandeling met daratumumab SC (Darzalex</w:t>
    </w:r>
    <w:r w:rsidRPr="00DA5975">
      <w:rPr>
        <w:rFonts w:cstheme="minorHAnsi"/>
        <w:color w:val="AEAAAA" w:themeColor="background2" w:themeShade="BF"/>
        <w:sz w:val="18"/>
        <w:szCs w:val="18"/>
        <w:lang w:val="nl-NL"/>
      </w:rPr>
      <w:t>®</w:t>
    </w:r>
    <w:r w:rsidR="00CB191A" w:rsidRPr="00DA5975">
      <w:rPr>
        <w:color w:val="AEAAAA" w:themeColor="background2" w:themeShade="BF"/>
        <w:sz w:val="18"/>
        <w:szCs w:val="18"/>
        <w:lang w:val="nl-NL"/>
      </w:rPr>
      <w:t xml:space="preserve"> </w:t>
    </w:r>
    <w:r w:rsidRPr="00DA5975">
      <w:rPr>
        <w:color w:val="AEAAAA" w:themeColor="background2" w:themeShade="BF"/>
        <w:sz w:val="18"/>
        <w:szCs w:val="18"/>
        <w:lang w:val="nl-NL"/>
      </w:rPr>
      <w:t xml:space="preserve">SC) </w:t>
    </w:r>
    <w:r w:rsidR="00CB191A" w:rsidRPr="00DA5975">
      <w:rPr>
        <w:color w:val="AEAAAA" w:themeColor="background2" w:themeShade="BF"/>
        <w:sz w:val="18"/>
        <w:szCs w:val="18"/>
        <w:lang w:val="nl-NL"/>
      </w:rPr>
      <w:t xml:space="preserve">in combinatie met </w:t>
    </w:r>
    <w:bookmarkEnd w:id="4"/>
    <w:proofErr w:type="spellStart"/>
    <w:r w:rsidR="00CB191A" w:rsidRPr="00DA5975">
      <w:rPr>
        <w:color w:val="AEAAAA" w:themeColor="background2" w:themeShade="BF"/>
        <w:sz w:val="18"/>
        <w:szCs w:val="18"/>
        <w:lang w:val="nl-NL"/>
      </w:rPr>
      <w:t>pomalidomide</w:t>
    </w:r>
    <w:proofErr w:type="spellEnd"/>
    <w:r w:rsidR="00CB191A" w:rsidRPr="00DA5975">
      <w:rPr>
        <w:color w:val="AEAAAA" w:themeColor="background2" w:themeShade="BF"/>
        <w:sz w:val="18"/>
        <w:szCs w:val="18"/>
        <w:lang w:val="nl-NL"/>
      </w:rPr>
      <w:t xml:space="preserve"> (</w:t>
    </w:r>
    <w:proofErr w:type="spellStart"/>
    <w:r w:rsidR="00CB191A" w:rsidRPr="00DA5975">
      <w:rPr>
        <w:color w:val="AEAAAA" w:themeColor="background2" w:themeShade="BF"/>
        <w:sz w:val="18"/>
        <w:szCs w:val="18"/>
        <w:lang w:val="nl-NL"/>
      </w:rPr>
      <w:t>Imnovid</w:t>
    </w:r>
    <w:proofErr w:type="spellEnd"/>
    <w:r w:rsidR="00CB191A" w:rsidRPr="00DA5975">
      <w:rPr>
        <w:color w:val="AEAAAA" w:themeColor="background2" w:themeShade="BF"/>
        <w:sz w:val="18"/>
        <w:szCs w:val="18"/>
        <w:lang w:val="nl-NL"/>
      </w:rPr>
      <w:t xml:space="preserve">©) en dexamethason voor de behandeling van volwassen patiënten met multipel myeloom die één eerdere behandellijn met een </w:t>
    </w:r>
    <w:proofErr w:type="spellStart"/>
    <w:r w:rsidR="00CB191A" w:rsidRPr="00DA5975">
      <w:rPr>
        <w:color w:val="AEAAAA" w:themeColor="background2" w:themeShade="BF"/>
        <w:sz w:val="18"/>
        <w:szCs w:val="18"/>
        <w:lang w:val="nl-NL"/>
      </w:rPr>
      <w:t>proteasoomremmer</w:t>
    </w:r>
    <w:proofErr w:type="spellEnd"/>
    <w:r w:rsidR="00CB191A" w:rsidRPr="00DA5975">
      <w:rPr>
        <w:color w:val="AEAAAA" w:themeColor="background2" w:themeShade="BF"/>
        <w:sz w:val="18"/>
        <w:szCs w:val="18"/>
        <w:lang w:val="nl-NL"/>
      </w:rPr>
      <w:t xml:space="preserve"> en </w:t>
    </w:r>
    <w:proofErr w:type="spellStart"/>
    <w:r w:rsidR="00CB191A" w:rsidRPr="00DA5975">
      <w:rPr>
        <w:color w:val="AEAAAA" w:themeColor="background2" w:themeShade="BF"/>
        <w:sz w:val="18"/>
        <w:szCs w:val="18"/>
        <w:lang w:val="nl-NL"/>
      </w:rPr>
      <w:t>lenalidomide</w:t>
    </w:r>
    <w:proofErr w:type="spellEnd"/>
    <w:r w:rsidR="00CB191A" w:rsidRPr="00DA5975">
      <w:rPr>
        <w:color w:val="AEAAAA" w:themeColor="background2" w:themeShade="BF"/>
        <w:sz w:val="18"/>
        <w:szCs w:val="18"/>
        <w:lang w:val="nl-NL"/>
      </w:rPr>
      <w:t xml:space="preserve"> hebben gehad en die refractair waren voor </w:t>
    </w:r>
    <w:proofErr w:type="spellStart"/>
    <w:r w:rsidR="00CB191A" w:rsidRPr="00DA5975">
      <w:rPr>
        <w:color w:val="AEAAAA" w:themeColor="background2" w:themeShade="BF"/>
        <w:sz w:val="18"/>
        <w:szCs w:val="18"/>
        <w:lang w:val="nl-NL"/>
      </w:rPr>
      <w:t>lenalidomide</w:t>
    </w:r>
    <w:proofErr w:type="spellEnd"/>
    <w:r w:rsidR="00CB191A" w:rsidRPr="00DA5975">
      <w:rPr>
        <w:color w:val="AEAAAA" w:themeColor="background2" w:themeShade="BF"/>
        <w:sz w:val="18"/>
        <w:szCs w:val="18"/>
        <w:lang w:val="nl-NL"/>
      </w:rPr>
      <w:t xml:space="preserve">, of die minstens twee eerdere behandellijnen hebben gehad waaronder </w:t>
    </w:r>
    <w:proofErr w:type="spellStart"/>
    <w:r w:rsidR="00CB191A" w:rsidRPr="00DA5975">
      <w:rPr>
        <w:color w:val="AEAAAA" w:themeColor="background2" w:themeShade="BF"/>
        <w:sz w:val="18"/>
        <w:szCs w:val="18"/>
        <w:lang w:val="nl-NL"/>
      </w:rPr>
      <w:t>lenalidomide</w:t>
    </w:r>
    <w:proofErr w:type="spellEnd"/>
    <w:r w:rsidR="00CB191A" w:rsidRPr="00DA5975">
      <w:rPr>
        <w:color w:val="AEAAAA" w:themeColor="background2" w:themeShade="BF"/>
        <w:sz w:val="18"/>
        <w:szCs w:val="18"/>
        <w:lang w:val="nl-NL"/>
      </w:rPr>
      <w:t xml:space="preserve"> en een </w:t>
    </w:r>
    <w:proofErr w:type="spellStart"/>
    <w:r w:rsidR="00CB191A" w:rsidRPr="00DA5975">
      <w:rPr>
        <w:color w:val="AEAAAA" w:themeColor="background2" w:themeShade="BF"/>
        <w:sz w:val="18"/>
        <w:szCs w:val="18"/>
        <w:lang w:val="nl-NL"/>
      </w:rPr>
      <w:t>proteasoomremmer</w:t>
    </w:r>
    <w:proofErr w:type="spellEnd"/>
    <w:r w:rsidR="00CB191A" w:rsidRPr="00DA5975">
      <w:rPr>
        <w:color w:val="AEAAAA" w:themeColor="background2" w:themeShade="BF"/>
        <w:sz w:val="18"/>
        <w:szCs w:val="18"/>
        <w:lang w:val="nl-NL"/>
      </w:rPr>
      <w:t xml:space="preserve"> en die bij of na de laatste behandeling ziekteprogressie hebben vertoond.</w:t>
    </w:r>
  </w:p>
  <w:p w14:paraId="790B9DD1" w14:textId="77777777" w:rsidR="00633488" w:rsidRDefault="00633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842EB"/>
    <w:multiLevelType w:val="hybridMultilevel"/>
    <w:tmpl w:val="C7546226"/>
    <w:lvl w:ilvl="0" w:tplc="FFFFFFFF">
      <w:start w:val="1"/>
      <w:numFmt w:val="decimal"/>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1B7811FB"/>
    <w:multiLevelType w:val="hybridMultilevel"/>
    <w:tmpl w:val="C75462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09560B"/>
    <w:multiLevelType w:val="hybridMultilevel"/>
    <w:tmpl w:val="95FEAC84"/>
    <w:lvl w:ilvl="0" w:tplc="5B5C331E">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 w15:restartNumberingAfterBreak="0">
    <w:nsid w:val="4AB36D8C"/>
    <w:multiLevelType w:val="hybridMultilevel"/>
    <w:tmpl w:val="A7DE75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C1F3E91"/>
    <w:multiLevelType w:val="hybridMultilevel"/>
    <w:tmpl w:val="0310FA54"/>
    <w:lvl w:ilvl="0" w:tplc="04130019">
      <w:start w:val="1"/>
      <w:numFmt w:val="lowerLetter"/>
      <w:lvlText w:val="%1."/>
      <w:lvlJc w:val="left"/>
      <w:pPr>
        <w:ind w:left="1068" w:hanging="360"/>
      </w:pPr>
    </w:lvl>
    <w:lvl w:ilvl="1" w:tplc="04090019">
      <w:start w:val="1"/>
      <w:numFmt w:val="lowerLetter"/>
      <w:lvlText w:val="%2."/>
      <w:lvlJc w:val="left"/>
      <w:pPr>
        <w:ind w:left="1788" w:hanging="360"/>
      </w:pPr>
    </w:lvl>
    <w:lvl w:ilvl="2" w:tplc="0409001B">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76FE40A2"/>
    <w:multiLevelType w:val="hybridMultilevel"/>
    <w:tmpl w:val="C75462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2525424">
    <w:abstractNumId w:val="5"/>
  </w:num>
  <w:num w:numId="2" w16cid:durableId="2141066338">
    <w:abstractNumId w:val="1"/>
  </w:num>
  <w:num w:numId="3" w16cid:durableId="1080829644">
    <w:abstractNumId w:val="0"/>
  </w:num>
  <w:num w:numId="4" w16cid:durableId="412045160">
    <w:abstractNumId w:val="4"/>
  </w:num>
  <w:num w:numId="5" w16cid:durableId="1127965883">
    <w:abstractNumId w:val="2"/>
  </w:num>
  <w:num w:numId="6" w16cid:durableId="11615024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2D5"/>
    <w:rsid w:val="000126A5"/>
    <w:rsid w:val="000760BB"/>
    <w:rsid w:val="000F64A8"/>
    <w:rsid w:val="001134A7"/>
    <w:rsid w:val="001A5F77"/>
    <w:rsid w:val="001B7B95"/>
    <w:rsid w:val="001F1605"/>
    <w:rsid w:val="00213166"/>
    <w:rsid w:val="00262CEC"/>
    <w:rsid w:val="00287236"/>
    <w:rsid w:val="00347D5B"/>
    <w:rsid w:val="00401DE0"/>
    <w:rsid w:val="00454A11"/>
    <w:rsid w:val="004614E6"/>
    <w:rsid w:val="0047248F"/>
    <w:rsid w:val="004C7745"/>
    <w:rsid w:val="005003C0"/>
    <w:rsid w:val="00554CB1"/>
    <w:rsid w:val="006032D5"/>
    <w:rsid w:val="00633488"/>
    <w:rsid w:val="006774D0"/>
    <w:rsid w:val="006A3C95"/>
    <w:rsid w:val="006A598D"/>
    <w:rsid w:val="00756A2D"/>
    <w:rsid w:val="007706C9"/>
    <w:rsid w:val="007C5272"/>
    <w:rsid w:val="007F0A8E"/>
    <w:rsid w:val="0095311C"/>
    <w:rsid w:val="009C0CB0"/>
    <w:rsid w:val="009E69F7"/>
    <w:rsid w:val="00AE6B92"/>
    <w:rsid w:val="00C9373A"/>
    <w:rsid w:val="00CB191A"/>
    <w:rsid w:val="00CC459F"/>
    <w:rsid w:val="00D57BBE"/>
    <w:rsid w:val="00D8695D"/>
    <w:rsid w:val="00DA5975"/>
    <w:rsid w:val="00F2511B"/>
    <w:rsid w:val="00F26558"/>
    <w:rsid w:val="00F83211"/>
    <w:rsid w:val="00FE4827"/>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C96A1E2"/>
  <w15:chartTrackingRefBased/>
  <w15:docId w15:val="{FB4FC122-416B-4427-8305-4344B855D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34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3488"/>
  </w:style>
  <w:style w:type="paragraph" w:styleId="Footer">
    <w:name w:val="footer"/>
    <w:basedOn w:val="Normal"/>
    <w:link w:val="FooterChar"/>
    <w:uiPriority w:val="99"/>
    <w:unhideWhenUsed/>
    <w:rsid w:val="006334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3488"/>
  </w:style>
  <w:style w:type="paragraph" w:styleId="NoSpacing">
    <w:name w:val="No Spacing"/>
    <w:uiPriority w:val="1"/>
    <w:qFormat/>
    <w:rsid w:val="00633488"/>
    <w:pPr>
      <w:spacing w:after="0" w:line="240" w:lineRule="auto"/>
    </w:pPr>
    <w:rPr>
      <w:lang w:val="en-US"/>
    </w:rPr>
  </w:style>
  <w:style w:type="paragraph" w:customStyle="1" w:styleId="paragraph">
    <w:name w:val="paragraph"/>
    <w:basedOn w:val="Normal"/>
    <w:rsid w:val="005003C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eop">
    <w:name w:val="eop"/>
    <w:basedOn w:val="DefaultParagraphFont"/>
    <w:rsid w:val="005003C0"/>
  </w:style>
  <w:style w:type="character" w:styleId="Hyperlink">
    <w:name w:val="Hyperlink"/>
    <w:basedOn w:val="DefaultParagraphFont"/>
    <w:uiPriority w:val="99"/>
    <w:unhideWhenUsed/>
    <w:rsid w:val="005003C0"/>
    <w:rPr>
      <w:color w:val="0563C1" w:themeColor="hyperlink"/>
      <w:u w:val="single"/>
    </w:rPr>
  </w:style>
  <w:style w:type="character" w:styleId="UnresolvedMention">
    <w:name w:val="Unresolved Mention"/>
    <w:basedOn w:val="DefaultParagraphFont"/>
    <w:uiPriority w:val="99"/>
    <w:semiHidden/>
    <w:unhideWhenUsed/>
    <w:rsid w:val="005003C0"/>
    <w:rPr>
      <w:color w:val="605E5C"/>
      <w:shd w:val="clear" w:color="auto" w:fill="E1DFDD"/>
    </w:rPr>
  </w:style>
  <w:style w:type="paragraph" w:styleId="ListParagraph">
    <w:name w:val="List Paragraph"/>
    <w:basedOn w:val="Normal"/>
    <w:uiPriority w:val="34"/>
    <w:qFormat/>
    <w:rsid w:val="001A5F77"/>
    <w:pPr>
      <w:ind w:left="720"/>
      <w:contextualSpacing/>
    </w:pPr>
    <w:rPr>
      <w:lang w:val="en-US"/>
    </w:rPr>
  </w:style>
  <w:style w:type="table" w:styleId="TableGrid">
    <w:name w:val="Table Grid"/>
    <w:basedOn w:val="TableNormal"/>
    <w:uiPriority w:val="39"/>
    <w:rsid w:val="001A5F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7F0A8E"/>
  </w:style>
  <w:style w:type="character" w:styleId="CommentReference">
    <w:name w:val="annotation reference"/>
    <w:basedOn w:val="DefaultParagraphFont"/>
    <w:uiPriority w:val="99"/>
    <w:semiHidden/>
    <w:unhideWhenUsed/>
    <w:rsid w:val="00F2511B"/>
    <w:rPr>
      <w:sz w:val="16"/>
      <w:szCs w:val="16"/>
    </w:rPr>
  </w:style>
  <w:style w:type="paragraph" w:styleId="CommentText">
    <w:name w:val="annotation text"/>
    <w:basedOn w:val="Normal"/>
    <w:link w:val="CommentTextChar"/>
    <w:uiPriority w:val="99"/>
    <w:semiHidden/>
    <w:unhideWhenUsed/>
    <w:rsid w:val="00F2511B"/>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F2511B"/>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farmacotherapeutischkompas.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ma.europa.eu/en/documents/product-information/imnovid-epar-product-information_nl.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anssen.com/netherlands/sites/www_janssen_com_netherlands/files/darzalex_spc.pdf"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anssen.com/Neder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0E260CD8335843BF4683929D64A8F3" ma:contentTypeVersion="8" ma:contentTypeDescription="Een nieuw document maken." ma:contentTypeScope="" ma:versionID="50a63d8f07a8e71fdb6a6320b3eebd8e">
  <xsd:schema xmlns:xsd="http://www.w3.org/2001/XMLSchema" xmlns:xs="http://www.w3.org/2001/XMLSchema" xmlns:p="http://schemas.microsoft.com/office/2006/metadata/properties" xmlns:ns2="944e879e-2537-468f-810f-e43655010b22" targetNamespace="http://schemas.microsoft.com/office/2006/metadata/properties" ma:root="true" ma:fieldsID="34221129e24c0d03b11ce478ebd52522" ns2:_="">
    <xsd:import namespace="944e879e-2537-468f-810f-e43655010b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e879e-2537-468f-810f-e43655010b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CF7EF7-4F21-4827-BF31-35EC6CD1BC7A}">
  <ds:schemaRefs>
    <ds:schemaRef ds:uri="http://schemas.microsoft.com/sharepoint/v3/contenttype/forms"/>
  </ds:schemaRefs>
</ds:datastoreItem>
</file>

<file path=customXml/itemProps2.xml><?xml version="1.0" encoding="utf-8"?>
<ds:datastoreItem xmlns:ds="http://schemas.openxmlformats.org/officeDocument/2006/customXml" ds:itemID="{43B134CB-2ED4-4860-B000-0DD383F86A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e879e-2537-468f-810f-e43655010b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D50559-6E2E-44B3-8CAC-960B02246BA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3631</Words>
  <Characters>19973</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Caerteling, Sander [JACNL]</dc:creator>
  <cp:keywords/>
  <dc:description/>
  <cp:lastModifiedBy>Caerteling, Sander [JACNL]</cp:lastModifiedBy>
  <cp:revision>5</cp:revision>
  <dcterms:created xsi:type="dcterms:W3CDTF">2023-07-18T09:09:00Z</dcterms:created>
  <dcterms:modified xsi:type="dcterms:W3CDTF">2023-07-18T09:37:00Z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0x010100B70E260CD8335843BF4683929D64A8F3</vt:lpwstr>
  </property>
</Properties>
</file>