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40966" w14:textId="1651B279" w:rsidR="007E4CBB" w:rsidRPr="00735E8C" w:rsidRDefault="007E4CBB" w:rsidP="00735E8C">
      <w:pPr>
        <w:jc w:val="center"/>
        <w:rPr>
          <w:b/>
        </w:rPr>
      </w:pPr>
      <w:r w:rsidRPr="00735E8C">
        <w:rPr>
          <w:rFonts w:ascii="Verdana" w:hAnsi="Verdana"/>
          <w:b/>
        </w:rPr>
        <w:t>AANVRAAGFORMULIER NIEUWE GENEESMIDDELEN</w:t>
      </w:r>
    </w:p>
    <w:p w14:paraId="63497DC5" w14:textId="1284E0A4" w:rsidR="006B1B5E" w:rsidRPr="006B1B5E" w:rsidRDefault="008A5BD3" w:rsidP="00735E8C">
      <w:pPr>
        <w:jc w:val="center"/>
        <w:rPr>
          <w:rFonts w:ascii="Verdana" w:hAnsi="Verdana"/>
          <w:i/>
        </w:rPr>
      </w:pPr>
      <w:r>
        <w:rPr>
          <w:rFonts w:ascii="Verdana" w:hAnsi="Verdana"/>
          <w:i/>
        </w:rPr>
        <w:t>Darzalex</w:t>
      </w:r>
      <w:r w:rsidRPr="003A253D">
        <w:rPr>
          <w:rFonts w:ascii="Verdana" w:hAnsi="Verdana"/>
          <w:sz w:val="20"/>
          <w:szCs w:val="20"/>
          <w:vertAlign w:val="superscript"/>
        </w:rPr>
        <w:t>®</w:t>
      </w:r>
      <w:r w:rsidR="006B1B5E" w:rsidRPr="006B1B5E">
        <w:rPr>
          <w:rFonts w:ascii="Verdana" w:hAnsi="Verdana"/>
          <w:i/>
        </w:rPr>
        <w:t xml:space="preserve"> </w:t>
      </w:r>
      <w:r>
        <w:rPr>
          <w:rFonts w:ascii="Verdana" w:hAnsi="Verdana"/>
          <w:i/>
        </w:rPr>
        <w:t xml:space="preserve">(daratumumab) </w:t>
      </w:r>
      <w:r w:rsidR="00507A07">
        <w:rPr>
          <w:rFonts w:ascii="Verdana" w:hAnsi="Verdana"/>
          <w:i/>
        </w:rPr>
        <w:t xml:space="preserve">combinatietherapie </w:t>
      </w:r>
      <w:r w:rsidR="007C6FD0">
        <w:rPr>
          <w:rFonts w:ascii="Verdana" w:hAnsi="Verdana"/>
          <w:i/>
        </w:rPr>
        <w:t>1</w:t>
      </w:r>
      <w:r w:rsidR="00AB2CBF">
        <w:rPr>
          <w:rFonts w:ascii="Verdana" w:hAnsi="Verdana"/>
          <w:i/>
        </w:rPr>
        <w:t>P</w:t>
      </w:r>
      <w:r w:rsidR="007C6FD0">
        <w:rPr>
          <w:rFonts w:ascii="Verdana" w:hAnsi="Verdana"/>
          <w:i/>
        </w:rPr>
        <w:t xml:space="preserve">L </w:t>
      </w:r>
      <w:r w:rsidR="006B1B5E" w:rsidRPr="006B1B5E">
        <w:rPr>
          <w:rFonts w:ascii="Verdana" w:hAnsi="Verdana"/>
          <w:i/>
        </w:rPr>
        <w:t>(</w:t>
      </w:r>
      <w:r w:rsidR="00AB2CBF" w:rsidRPr="006B1B5E">
        <w:rPr>
          <w:rFonts w:ascii="Verdana" w:hAnsi="Verdana"/>
          <w:i/>
        </w:rPr>
        <w:t>D</w:t>
      </w:r>
      <w:r w:rsidR="00AB2CBF">
        <w:rPr>
          <w:rFonts w:ascii="Verdana" w:hAnsi="Verdana"/>
          <w:i/>
        </w:rPr>
        <w:t>P</w:t>
      </w:r>
      <w:r w:rsidR="00AB2CBF" w:rsidRPr="006B1B5E">
        <w:rPr>
          <w:rFonts w:ascii="Verdana" w:hAnsi="Verdana"/>
          <w:i/>
        </w:rPr>
        <w:t>d</w:t>
      </w:r>
      <w:r w:rsidR="006B1B5E" w:rsidRPr="006B1B5E">
        <w:rPr>
          <w:rFonts w:ascii="Verdana" w:hAnsi="Verdana"/>
          <w:i/>
        </w:rPr>
        <w:t>)</w:t>
      </w:r>
    </w:p>
    <w:p w14:paraId="156AE81A" w14:textId="77777777" w:rsidR="007E4CBB" w:rsidRDefault="007E4CBB">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70"/>
        <w:gridCol w:w="7580"/>
      </w:tblGrid>
      <w:tr w:rsidR="00BF29C9" w14:paraId="2EA4EB67" w14:textId="77777777" w:rsidTr="313298E9">
        <w:tc>
          <w:tcPr>
            <w:tcW w:w="1770" w:type="dxa"/>
          </w:tcPr>
          <w:p w14:paraId="4156F8C0" w14:textId="77777777" w:rsidR="007E4CBB" w:rsidRPr="00F240FC" w:rsidRDefault="007E4CBB">
            <w:pPr>
              <w:rPr>
                <w:rFonts w:ascii="Verdana" w:hAnsi="Verdana"/>
                <w:sz w:val="20"/>
                <w:szCs w:val="20"/>
              </w:rPr>
            </w:pPr>
            <w:r w:rsidRPr="00F240FC">
              <w:rPr>
                <w:rFonts w:ascii="Verdana" w:hAnsi="Verdana"/>
                <w:sz w:val="20"/>
                <w:szCs w:val="20"/>
              </w:rPr>
              <w:t>Datum:</w:t>
            </w:r>
          </w:p>
        </w:tc>
        <w:tc>
          <w:tcPr>
            <w:tcW w:w="7580" w:type="dxa"/>
          </w:tcPr>
          <w:p w14:paraId="4091A648" w14:textId="77777777" w:rsidR="007E4CBB" w:rsidRPr="00F240FC" w:rsidRDefault="007E4CBB">
            <w:pPr>
              <w:rPr>
                <w:rFonts w:ascii="Verdana" w:hAnsi="Verdana"/>
                <w:b/>
                <w:sz w:val="20"/>
                <w:szCs w:val="20"/>
              </w:rPr>
            </w:pPr>
          </w:p>
        </w:tc>
      </w:tr>
      <w:tr w:rsidR="00BF29C9" w14:paraId="63669BBC" w14:textId="77777777" w:rsidTr="313298E9">
        <w:tc>
          <w:tcPr>
            <w:tcW w:w="1770" w:type="dxa"/>
          </w:tcPr>
          <w:p w14:paraId="07E7A0B1" w14:textId="4FD89746" w:rsidR="007E4CBB" w:rsidRPr="00F240FC" w:rsidRDefault="007E4CBB">
            <w:pPr>
              <w:rPr>
                <w:rFonts w:ascii="Verdana" w:hAnsi="Verdana"/>
                <w:sz w:val="20"/>
                <w:szCs w:val="20"/>
              </w:rPr>
            </w:pPr>
            <w:r w:rsidRPr="00F240FC">
              <w:rPr>
                <w:rFonts w:ascii="Verdana" w:hAnsi="Verdana"/>
                <w:sz w:val="20"/>
                <w:szCs w:val="20"/>
              </w:rPr>
              <w:t>Naam aanvrager</w:t>
            </w:r>
            <w:r w:rsidR="00061F7F">
              <w:rPr>
                <w:rFonts w:ascii="Verdana" w:hAnsi="Verdana"/>
                <w:sz w:val="20"/>
                <w:szCs w:val="20"/>
              </w:rPr>
              <w:t xml:space="preserve"> </w:t>
            </w:r>
            <w:r w:rsidRPr="00F240FC">
              <w:rPr>
                <w:rFonts w:ascii="Verdana" w:hAnsi="Verdana"/>
                <w:sz w:val="20"/>
                <w:szCs w:val="20"/>
              </w:rPr>
              <w:t>(s):</w:t>
            </w:r>
          </w:p>
        </w:tc>
        <w:tc>
          <w:tcPr>
            <w:tcW w:w="7580" w:type="dxa"/>
          </w:tcPr>
          <w:p w14:paraId="5C0C6AB5" w14:textId="77777777" w:rsidR="007E4CBB" w:rsidRPr="00F240FC" w:rsidRDefault="007E4CBB">
            <w:pPr>
              <w:rPr>
                <w:rFonts w:ascii="Verdana" w:hAnsi="Verdana"/>
                <w:sz w:val="20"/>
                <w:szCs w:val="20"/>
              </w:rPr>
            </w:pPr>
          </w:p>
        </w:tc>
      </w:tr>
      <w:tr w:rsidR="00BF29C9" w14:paraId="5CE6CCB4" w14:textId="77777777" w:rsidTr="313298E9">
        <w:tc>
          <w:tcPr>
            <w:tcW w:w="1770" w:type="dxa"/>
          </w:tcPr>
          <w:p w14:paraId="72717068" w14:textId="77777777" w:rsidR="007E4CBB" w:rsidRPr="00F240FC" w:rsidRDefault="007E4CBB">
            <w:pPr>
              <w:rPr>
                <w:rFonts w:ascii="Verdana" w:hAnsi="Verdana"/>
                <w:sz w:val="20"/>
                <w:szCs w:val="20"/>
              </w:rPr>
            </w:pPr>
            <w:r w:rsidRPr="00F240FC">
              <w:rPr>
                <w:rFonts w:ascii="Verdana" w:hAnsi="Verdana"/>
                <w:sz w:val="20"/>
                <w:szCs w:val="20"/>
              </w:rPr>
              <w:t>Specialisme:</w:t>
            </w:r>
          </w:p>
        </w:tc>
        <w:tc>
          <w:tcPr>
            <w:tcW w:w="7580" w:type="dxa"/>
          </w:tcPr>
          <w:p w14:paraId="04F24251" w14:textId="77777777" w:rsidR="007E4CBB" w:rsidRPr="00F240FC" w:rsidRDefault="007E4CBB">
            <w:pPr>
              <w:rPr>
                <w:rFonts w:ascii="Verdana" w:hAnsi="Verdana"/>
                <w:sz w:val="20"/>
                <w:szCs w:val="20"/>
              </w:rPr>
            </w:pPr>
          </w:p>
        </w:tc>
      </w:tr>
      <w:tr w:rsidR="00BF29C9" w14:paraId="43973CC2" w14:textId="77777777" w:rsidTr="313298E9">
        <w:tc>
          <w:tcPr>
            <w:tcW w:w="1770" w:type="dxa"/>
          </w:tcPr>
          <w:p w14:paraId="1D4806D6" w14:textId="43303EEF" w:rsidR="00C52786" w:rsidRPr="00F240FC" w:rsidRDefault="00C52786">
            <w:pPr>
              <w:rPr>
                <w:rFonts w:ascii="Verdana" w:hAnsi="Verdana"/>
                <w:sz w:val="20"/>
                <w:szCs w:val="20"/>
              </w:rPr>
            </w:pPr>
            <w:r w:rsidRPr="00F240FC">
              <w:rPr>
                <w:rFonts w:ascii="Verdana" w:hAnsi="Verdana"/>
                <w:sz w:val="20"/>
                <w:szCs w:val="20"/>
              </w:rPr>
              <w:t xml:space="preserve">Naam en </w:t>
            </w:r>
            <w:proofErr w:type="spellStart"/>
            <w:r w:rsidRPr="00F240FC">
              <w:rPr>
                <w:rFonts w:ascii="Verdana" w:hAnsi="Verdana"/>
                <w:sz w:val="20"/>
                <w:szCs w:val="20"/>
              </w:rPr>
              <w:t>hand</w:t>
            </w:r>
            <w:r w:rsidR="00061F7F">
              <w:rPr>
                <w:rFonts w:ascii="Verdana" w:hAnsi="Verdana"/>
                <w:sz w:val="20"/>
                <w:szCs w:val="20"/>
              </w:rPr>
              <w:t>-</w:t>
            </w:r>
            <w:r w:rsidRPr="00F240FC">
              <w:rPr>
                <w:rFonts w:ascii="Verdana" w:hAnsi="Verdana"/>
                <w:sz w:val="20"/>
                <w:szCs w:val="20"/>
              </w:rPr>
              <w:t>tekening</w:t>
            </w:r>
            <w:proofErr w:type="spellEnd"/>
            <w:r w:rsidRPr="00F240FC">
              <w:rPr>
                <w:rFonts w:ascii="Verdana" w:hAnsi="Verdana"/>
                <w:sz w:val="20"/>
                <w:szCs w:val="20"/>
              </w:rPr>
              <w:t xml:space="preserve"> medisch manager:</w:t>
            </w:r>
          </w:p>
        </w:tc>
        <w:tc>
          <w:tcPr>
            <w:tcW w:w="7580" w:type="dxa"/>
          </w:tcPr>
          <w:p w14:paraId="6F3AF35D" w14:textId="77777777" w:rsidR="00C52786" w:rsidRPr="00F240FC" w:rsidRDefault="00C52786">
            <w:pPr>
              <w:rPr>
                <w:rFonts w:ascii="Verdana" w:hAnsi="Verdana"/>
                <w:b/>
                <w:sz w:val="20"/>
                <w:szCs w:val="20"/>
              </w:rPr>
            </w:pPr>
          </w:p>
        </w:tc>
      </w:tr>
      <w:tr w:rsidR="00BF29C9" w14:paraId="1B6FEFF9" w14:textId="77777777" w:rsidTr="313298E9">
        <w:tc>
          <w:tcPr>
            <w:tcW w:w="1770" w:type="dxa"/>
          </w:tcPr>
          <w:p w14:paraId="1C02AFA0" w14:textId="149FC1C0" w:rsidR="007E4CBB" w:rsidRPr="00F240FC" w:rsidRDefault="007E4CBB">
            <w:pPr>
              <w:rPr>
                <w:rFonts w:ascii="Verdana" w:hAnsi="Verdana"/>
                <w:sz w:val="20"/>
                <w:szCs w:val="20"/>
              </w:rPr>
            </w:pPr>
            <w:proofErr w:type="spellStart"/>
            <w:r w:rsidRPr="00F240FC">
              <w:rPr>
                <w:rFonts w:ascii="Verdana" w:hAnsi="Verdana"/>
                <w:sz w:val="20"/>
                <w:szCs w:val="20"/>
              </w:rPr>
              <w:t>Genees</w:t>
            </w:r>
            <w:r w:rsidR="00061F7F">
              <w:rPr>
                <w:rFonts w:ascii="Verdana" w:hAnsi="Verdana"/>
                <w:sz w:val="20"/>
                <w:szCs w:val="20"/>
              </w:rPr>
              <w:t>-</w:t>
            </w:r>
            <w:r w:rsidRPr="00F240FC">
              <w:rPr>
                <w:rFonts w:ascii="Verdana" w:hAnsi="Verdana"/>
                <w:sz w:val="20"/>
                <w:szCs w:val="20"/>
              </w:rPr>
              <w:t>middel</w:t>
            </w:r>
            <w:proofErr w:type="spellEnd"/>
            <w:r w:rsidRPr="00F240FC">
              <w:rPr>
                <w:rFonts w:ascii="Verdana" w:hAnsi="Verdana"/>
                <w:sz w:val="20"/>
                <w:szCs w:val="20"/>
              </w:rPr>
              <w:t xml:space="preserve"> en sterkte:</w:t>
            </w:r>
          </w:p>
        </w:tc>
        <w:tc>
          <w:tcPr>
            <w:tcW w:w="7580" w:type="dxa"/>
          </w:tcPr>
          <w:p w14:paraId="2E185C1A" w14:textId="77777777" w:rsidR="0014131B" w:rsidRDefault="0014131B" w:rsidP="003A253D">
            <w:pPr>
              <w:pStyle w:val="Default"/>
              <w:rPr>
                <w:rFonts w:ascii="Verdana" w:hAnsi="Verdana"/>
                <w:sz w:val="20"/>
                <w:szCs w:val="20"/>
                <w:lang w:val="nl-NL"/>
              </w:rPr>
            </w:pPr>
          </w:p>
          <w:p w14:paraId="5E29507B" w14:textId="74222F12" w:rsidR="28995D01" w:rsidRDefault="28995D01" w:rsidP="3279F48D">
            <w:pPr>
              <w:rPr>
                <w:rFonts w:ascii="Verdana" w:eastAsia="Verdana" w:hAnsi="Verdana" w:cs="Verdana"/>
                <w:sz w:val="20"/>
                <w:szCs w:val="20"/>
              </w:rPr>
            </w:pPr>
            <w:r w:rsidRPr="3279F48D">
              <w:rPr>
                <w:rFonts w:ascii="Verdana" w:eastAsia="Verdana" w:hAnsi="Verdana" w:cs="Verdana"/>
                <w:sz w:val="20"/>
                <w:szCs w:val="20"/>
                <w:lang w:val="nl"/>
              </w:rPr>
              <w:t xml:space="preserve">Darzalex SC 1.800 mg (15 ml) </w:t>
            </w:r>
          </w:p>
          <w:p w14:paraId="347EC653" w14:textId="4D8564FA" w:rsidR="28995D01" w:rsidRDefault="28995D01" w:rsidP="3279F48D">
            <w:pPr>
              <w:rPr>
                <w:rFonts w:ascii="Verdana" w:eastAsia="Verdana" w:hAnsi="Verdana" w:cs="Verdana"/>
                <w:sz w:val="20"/>
                <w:szCs w:val="20"/>
              </w:rPr>
            </w:pPr>
            <w:r w:rsidRPr="00B0186E">
              <w:rPr>
                <w:rFonts w:ascii="Verdana" w:eastAsia="Verdana" w:hAnsi="Verdana" w:cs="Verdana"/>
                <w:sz w:val="20"/>
                <w:szCs w:val="20"/>
              </w:rPr>
              <w:t>1 injectieflacon á 120 mg/ml</w:t>
            </w:r>
          </w:p>
          <w:p w14:paraId="5C3B3617" w14:textId="6D45D733" w:rsidR="3279F48D" w:rsidRDefault="3279F48D" w:rsidP="3279F48D">
            <w:pPr>
              <w:pStyle w:val="Default"/>
              <w:rPr>
                <w:rFonts w:ascii="Verdana" w:hAnsi="Verdana"/>
                <w:sz w:val="20"/>
                <w:szCs w:val="20"/>
                <w:lang w:val="nl-NL"/>
              </w:rPr>
            </w:pPr>
          </w:p>
          <w:p w14:paraId="2686C63E" w14:textId="77777777" w:rsidR="003A253D" w:rsidRPr="00F240FC" w:rsidRDefault="003A253D" w:rsidP="003A253D">
            <w:pPr>
              <w:rPr>
                <w:rFonts w:ascii="Verdana" w:hAnsi="Verdana"/>
                <w:sz w:val="20"/>
                <w:szCs w:val="20"/>
              </w:rPr>
            </w:pPr>
          </w:p>
        </w:tc>
      </w:tr>
      <w:tr w:rsidR="00BF29C9" w14:paraId="743AC024" w14:textId="77777777" w:rsidTr="313298E9">
        <w:tc>
          <w:tcPr>
            <w:tcW w:w="1770" w:type="dxa"/>
          </w:tcPr>
          <w:p w14:paraId="3055E6D2" w14:textId="77777777" w:rsidR="007E4CBB" w:rsidRPr="00F240FC" w:rsidRDefault="006C5FE5">
            <w:pPr>
              <w:rPr>
                <w:rFonts w:ascii="Verdana" w:hAnsi="Verdana"/>
                <w:sz w:val="20"/>
                <w:szCs w:val="20"/>
              </w:rPr>
            </w:pPr>
            <w:r>
              <w:rPr>
                <w:rFonts w:ascii="Verdana" w:hAnsi="Verdana"/>
                <w:sz w:val="20"/>
                <w:szCs w:val="20"/>
              </w:rPr>
              <w:t>R</w:t>
            </w:r>
            <w:r w:rsidR="00174F42">
              <w:rPr>
                <w:rFonts w:ascii="Verdana" w:hAnsi="Verdana"/>
                <w:sz w:val="20"/>
                <w:szCs w:val="20"/>
              </w:rPr>
              <w:t>egistratie</w:t>
            </w:r>
            <w:r w:rsidR="007D10DB">
              <w:rPr>
                <w:rFonts w:ascii="Verdana" w:hAnsi="Verdana"/>
                <w:sz w:val="20"/>
                <w:szCs w:val="20"/>
              </w:rPr>
              <w:t>-</w:t>
            </w:r>
            <w:r w:rsidR="00174F42">
              <w:rPr>
                <w:rFonts w:ascii="Verdana" w:hAnsi="Verdana"/>
                <w:sz w:val="20"/>
                <w:szCs w:val="20"/>
              </w:rPr>
              <w:t>houde</w:t>
            </w:r>
            <w:r w:rsidR="007D10DB">
              <w:rPr>
                <w:rFonts w:ascii="Verdana" w:hAnsi="Verdana"/>
                <w:sz w:val="20"/>
                <w:szCs w:val="20"/>
              </w:rPr>
              <w:t>r</w:t>
            </w:r>
            <w:r w:rsidR="007E4CBB" w:rsidRPr="00F240FC">
              <w:rPr>
                <w:rFonts w:ascii="Verdana" w:hAnsi="Verdana"/>
                <w:sz w:val="20"/>
                <w:szCs w:val="20"/>
              </w:rPr>
              <w:t>:</w:t>
            </w:r>
          </w:p>
        </w:tc>
        <w:tc>
          <w:tcPr>
            <w:tcW w:w="7580" w:type="dxa"/>
          </w:tcPr>
          <w:p w14:paraId="0289725A" w14:textId="77777777" w:rsidR="003A253D" w:rsidRPr="003A253D" w:rsidRDefault="003A253D" w:rsidP="003A253D">
            <w:pPr>
              <w:pStyle w:val="Default"/>
              <w:rPr>
                <w:rFonts w:ascii="Verdana" w:hAnsi="Verdana"/>
                <w:sz w:val="20"/>
                <w:szCs w:val="20"/>
                <w:lang w:val="nl-NL"/>
              </w:rPr>
            </w:pPr>
            <w:r w:rsidRPr="003A253D">
              <w:rPr>
                <w:rFonts w:ascii="Verdana" w:hAnsi="Verdana"/>
                <w:sz w:val="20"/>
                <w:szCs w:val="20"/>
                <w:lang w:val="nl-NL"/>
              </w:rPr>
              <w:t xml:space="preserve">Janssen-Cilag International NV </w:t>
            </w:r>
          </w:p>
          <w:p w14:paraId="6DF49141" w14:textId="77777777" w:rsidR="003A253D" w:rsidRPr="003A253D" w:rsidRDefault="003A253D" w:rsidP="003A253D">
            <w:pPr>
              <w:pStyle w:val="Default"/>
              <w:rPr>
                <w:rFonts w:ascii="Verdana" w:hAnsi="Verdana"/>
                <w:sz w:val="20"/>
                <w:szCs w:val="20"/>
                <w:lang w:val="nl-NL"/>
              </w:rPr>
            </w:pPr>
            <w:r w:rsidRPr="003A253D">
              <w:rPr>
                <w:rFonts w:ascii="Verdana" w:hAnsi="Verdana"/>
                <w:sz w:val="20"/>
                <w:szCs w:val="20"/>
                <w:lang w:val="nl-NL"/>
              </w:rPr>
              <w:t xml:space="preserve">Turnhoutseweg 30 </w:t>
            </w:r>
          </w:p>
          <w:p w14:paraId="5A754B0C" w14:textId="77777777" w:rsidR="003A253D" w:rsidRPr="00B0186E" w:rsidRDefault="003A253D" w:rsidP="003A253D">
            <w:pPr>
              <w:pStyle w:val="Default"/>
              <w:rPr>
                <w:rFonts w:ascii="Verdana" w:hAnsi="Verdana"/>
                <w:sz w:val="20"/>
                <w:szCs w:val="20"/>
                <w:lang w:val="nl-NL"/>
              </w:rPr>
            </w:pPr>
            <w:r w:rsidRPr="00B0186E">
              <w:rPr>
                <w:rFonts w:ascii="Verdana" w:hAnsi="Verdana"/>
                <w:sz w:val="20"/>
                <w:szCs w:val="20"/>
                <w:lang w:val="nl-NL"/>
              </w:rPr>
              <w:t xml:space="preserve">B-2340 Beerse </w:t>
            </w:r>
          </w:p>
          <w:p w14:paraId="60CCF36F" w14:textId="77777777" w:rsidR="007E4CBB" w:rsidRDefault="003A253D" w:rsidP="003A253D">
            <w:pPr>
              <w:rPr>
                <w:rFonts w:ascii="Verdana" w:hAnsi="Verdana"/>
                <w:sz w:val="20"/>
                <w:szCs w:val="20"/>
              </w:rPr>
            </w:pPr>
            <w:r w:rsidRPr="003A253D">
              <w:rPr>
                <w:rFonts w:ascii="Verdana" w:hAnsi="Verdana"/>
                <w:sz w:val="20"/>
                <w:szCs w:val="20"/>
              </w:rPr>
              <w:t>België</w:t>
            </w:r>
          </w:p>
          <w:p w14:paraId="31A3CEA1" w14:textId="77777777" w:rsidR="0014131B" w:rsidRPr="00F240FC" w:rsidRDefault="0014131B" w:rsidP="003A253D">
            <w:pPr>
              <w:rPr>
                <w:rFonts w:ascii="Verdana" w:hAnsi="Verdana"/>
                <w:sz w:val="20"/>
                <w:szCs w:val="20"/>
              </w:rPr>
            </w:pPr>
          </w:p>
        </w:tc>
      </w:tr>
      <w:tr w:rsidR="00BF29C9" w14:paraId="2B16956F" w14:textId="77777777" w:rsidTr="313298E9">
        <w:tc>
          <w:tcPr>
            <w:tcW w:w="1770" w:type="dxa"/>
          </w:tcPr>
          <w:p w14:paraId="0CEA1420" w14:textId="2CEB1CE2" w:rsidR="007E4CBB" w:rsidRPr="006C5FE5" w:rsidRDefault="006C5FE5" w:rsidP="006C5FE5">
            <w:pPr>
              <w:rPr>
                <w:rFonts w:ascii="Verdana" w:hAnsi="Verdana"/>
                <w:sz w:val="20"/>
                <w:szCs w:val="20"/>
              </w:rPr>
            </w:pPr>
            <w:proofErr w:type="spellStart"/>
            <w:r w:rsidRPr="006C5FE5">
              <w:rPr>
                <w:rFonts w:ascii="Verdana" w:hAnsi="Verdana"/>
                <w:bCs/>
                <w:sz w:val="20"/>
                <w:szCs w:val="20"/>
              </w:rPr>
              <w:t>Therapeu</w:t>
            </w:r>
            <w:r w:rsidR="00061F7F">
              <w:rPr>
                <w:rFonts w:ascii="Verdana" w:hAnsi="Verdana"/>
                <w:bCs/>
                <w:sz w:val="20"/>
                <w:szCs w:val="20"/>
              </w:rPr>
              <w:t>-</w:t>
            </w:r>
            <w:r w:rsidRPr="006C5FE5">
              <w:rPr>
                <w:rFonts w:ascii="Verdana" w:hAnsi="Verdana"/>
                <w:bCs/>
                <w:sz w:val="20"/>
                <w:szCs w:val="20"/>
              </w:rPr>
              <w:t>tische</w:t>
            </w:r>
            <w:proofErr w:type="spellEnd"/>
            <w:r w:rsidRPr="006C5FE5">
              <w:rPr>
                <w:rFonts w:ascii="Verdana" w:hAnsi="Verdana"/>
                <w:bCs/>
                <w:sz w:val="20"/>
                <w:szCs w:val="20"/>
              </w:rPr>
              <w:t xml:space="preserve"> indicaties</w:t>
            </w:r>
            <w:r>
              <w:rPr>
                <w:rFonts w:ascii="Verdana" w:hAnsi="Verdana"/>
                <w:bCs/>
                <w:sz w:val="20"/>
                <w:szCs w:val="20"/>
              </w:rPr>
              <w:t>:</w:t>
            </w:r>
          </w:p>
        </w:tc>
        <w:tc>
          <w:tcPr>
            <w:tcW w:w="7580" w:type="dxa"/>
          </w:tcPr>
          <w:p w14:paraId="6AF3012F" w14:textId="45198746" w:rsidR="00B453CB" w:rsidRDefault="001D68E1" w:rsidP="006C5FE5">
            <w:pPr>
              <w:pStyle w:val="Default"/>
              <w:rPr>
                <w:rFonts w:ascii="Verdana" w:hAnsi="Verdana"/>
                <w:sz w:val="20"/>
                <w:szCs w:val="20"/>
                <w:lang w:val="nl-NL"/>
              </w:rPr>
            </w:pPr>
            <w:r>
              <w:rPr>
                <w:rFonts w:ascii="Verdana" w:hAnsi="Verdana"/>
                <w:sz w:val="20"/>
                <w:szCs w:val="20"/>
                <w:lang w:val="nl-NL"/>
              </w:rPr>
              <w:t>Darzalex</w:t>
            </w:r>
            <w:r w:rsidR="006C5FE5" w:rsidRPr="001D68E1">
              <w:rPr>
                <w:rFonts w:ascii="Verdana" w:hAnsi="Verdana"/>
                <w:sz w:val="20"/>
                <w:szCs w:val="20"/>
                <w:lang w:val="nl-NL"/>
              </w:rPr>
              <w:t xml:space="preserve"> </w:t>
            </w:r>
            <w:r w:rsidR="005E3CA5">
              <w:rPr>
                <w:rFonts w:ascii="Verdana" w:hAnsi="Verdana"/>
                <w:sz w:val="20"/>
                <w:szCs w:val="20"/>
                <w:lang w:val="nl-NL"/>
              </w:rPr>
              <w:t xml:space="preserve">subcutane formulering (SC) </w:t>
            </w:r>
            <w:r w:rsidR="00AB2CBF" w:rsidRPr="00AB2CBF">
              <w:rPr>
                <w:rFonts w:ascii="Verdana" w:hAnsi="Verdana"/>
                <w:sz w:val="20"/>
                <w:szCs w:val="20"/>
                <w:lang w:val="nl-NL"/>
              </w:rPr>
              <w:t>is geïndiceerd in combinatie met pomalidomide en dexamethason voor de behandeling van volwassen patiënten met multipel myeloom die één eerdere behandellijn met een proteasoomremmer en lenalidomide hebben gehad en die refractair waren voor lenalidomide, of die minstens twee eerdere behandellijnen hebben gehad waaronder lenalidomide en een proteasoomremmer en die bij of na de laatste behandeling ziekteprogressie hebben vertoond.</w:t>
            </w:r>
          </w:p>
          <w:p w14:paraId="07814B5C" w14:textId="77777777" w:rsidR="00801155" w:rsidRDefault="00801155" w:rsidP="00801155">
            <w:pPr>
              <w:pStyle w:val="Default"/>
              <w:rPr>
                <w:rFonts w:ascii="Verdana" w:hAnsi="Verdana"/>
                <w:sz w:val="20"/>
                <w:szCs w:val="20"/>
                <w:lang w:val="nl-NL"/>
              </w:rPr>
            </w:pPr>
          </w:p>
          <w:p w14:paraId="257219B3" w14:textId="734AC428" w:rsidR="00507A07" w:rsidRPr="00BC78CC" w:rsidRDefault="004B1BD2" w:rsidP="004B1BD2">
            <w:pPr>
              <w:pStyle w:val="Default"/>
              <w:rPr>
                <w:rFonts w:ascii="Verdana" w:hAnsi="Verdana"/>
                <w:i/>
                <w:sz w:val="16"/>
                <w:szCs w:val="16"/>
                <w:lang w:val="nl-NL"/>
              </w:rPr>
            </w:pPr>
            <w:r w:rsidRPr="00BC78CC">
              <w:rPr>
                <w:rFonts w:ascii="Verdana" w:hAnsi="Verdana"/>
                <w:b/>
                <w:i/>
                <w:sz w:val="16"/>
                <w:szCs w:val="16"/>
                <w:u w:val="single"/>
                <w:lang w:val="nl-NL"/>
              </w:rPr>
              <w:t>Buiten de scope van dit document:</w:t>
            </w:r>
            <w:r w:rsidRPr="00BC78CC">
              <w:rPr>
                <w:rFonts w:ascii="Verdana" w:hAnsi="Verdana"/>
                <w:i/>
                <w:sz w:val="16"/>
                <w:szCs w:val="16"/>
                <w:lang w:val="nl-NL"/>
              </w:rPr>
              <w:t xml:space="preserve"> </w:t>
            </w:r>
          </w:p>
          <w:p w14:paraId="19C9F9E6" w14:textId="77777777" w:rsidR="00507A07" w:rsidRPr="00174691" w:rsidRDefault="00507A07" w:rsidP="00507A07">
            <w:pPr>
              <w:pStyle w:val="Default"/>
              <w:rPr>
                <w:rFonts w:ascii="Verdana" w:hAnsi="Verdana"/>
                <w:i/>
                <w:sz w:val="16"/>
                <w:szCs w:val="16"/>
                <w:highlight w:val="yellow"/>
                <w:lang w:val="nl-NL"/>
              </w:rPr>
            </w:pPr>
          </w:p>
          <w:p w14:paraId="2C752F29" w14:textId="1DF3B07A" w:rsidR="00507A07" w:rsidRPr="00174691" w:rsidRDefault="00507A07" w:rsidP="004B1BD2">
            <w:pPr>
              <w:pStyle w:val="Default"/>
              <w:rPr>
                <w:rFonts w:ascii="Verdana" w:hAnsi="Verdana"/>
                <w:i/>
                <w:sz w:val="16"/>
                <w:szCs w:val="16"/>
                <w:highlight w:val="yellow"/>
                <w:lang w:val="nl-NL"/>
              </w:rPr>
            </w:pPr>
          </w:p>
          <w:p w14:paraId="68907200" w14:textId="29FC8AF6" w:rsidR="0074645D" w:rsidRDefault="0074645D" w:rsidP="0074645D">
            <w:pPr>
              <w:pStyle w:val="Default"/>
              <w:rPr>
                <w:rFonts w:ascii="Verdana" w:hAnsi="Verdana"/>
                <w:i/>
                <w:iCs/>
                <w:sz w:val="16"/>
                <w:szCs w:val="16"/>
                <w:lang w:val="nl-NL"/>
              </w:rPr>
            </w:pPr>
            <w:r w:rsidRPr="008A6C82">
              <w:rPr>
                <w:rFonts w:ascii="Verdana" w:hAnsi="Verdana"/>
                <w:i/>
                <w:iCs/>
                <w:sz w:val="16"/>
                <w:szCs w:val="16"/>
                <w:lang w:val="nl-NL"/>
              </w:rPr>
              <w:t>Darzalex</w:t>
            </w:r>
            <w:r w:rsidR="005E3CA5">
              <w:rPr>
                <w:rFonts w:ascii="Verdana" w:hAnsi="Verdana"/>
                <w:i/>
                <w:iCs/>
                <w:sz w:val="16"/>
                <w:szCs w:val="16"/>
                <w:lang w:val="nl-NL"/>
              </w:rPr>
              <w:t xml:space="preserve"> SC</w:t>
            </w:r>
            <w:r w:rsidRPr="008A6C82">
              <w:rPr>
                <w:rFonts w:ascii="Verdana" w:hAnsi="Verdana"/>
                <w:i/>
                <w:iCs/>
                <w:sz w:val="16"/>
                <w:szCs w:val="16"/>
                <w:lang w:val="nl-NL"/>
              </w:rPr>
              <w:t xml:space="preserve"> </w:t>
            </w:r>
            <w:r w:rsidR="007C6FD0" w:rsidRPr="007C6FD0">
              <w:rPr>
                <w:rFonts w:ascii="Verdana" w:hAnsi="Verdana"/>
                <w:i/>
                <w:iCs/>
                <w:sz w:val="16"/>
                <w:szCs w:val="16"/>
                <w:lang w:val="nl-NL"/>
              </w:rPr>
              <w:t>is geïndiceerd in combinatie met lenalidomide en dexamethason, of bortezomib en dexamethason voor de behandeling van volwassen patiënten met multipel myeloom die minstens 1 eerdere behandeling hebben gehad.</w:t>
            </w:r>
          </w:p>
          <w:p w14:paraId="419BEB6F" w14:textId="77777777" w:rsidR="0074645D" w:rsidRPr="008A6C82" w:rsidRDefault="0074645D" w:rsidP="0074645D">
            <w:pPr>
              <w:pStyle w:val="Default"/>
              <w:rPr>
                <w:rFonts w:ascii="Verdana" w:hAnsi="Verdana"/>
                <w:i/>
                <w:iCs/>
                <w:sz w:val="16"/>
                <w:szCs w:val="16"/>
                <w:lang w:val="nl-NL"/>
              </w:rPr>
            </w:pPr>
          </w:p>
          <w:p w14:paraId="08725C58" w14:textId="00593F24" w:rsidR="0074645D" w:rsidRDefault="0074645D" w:rsidP="0074645D">
            <w:pPr>
              <w:pStyle w:val="Default"/>
              <w:rPr>
                <w:rFonts w:ascii="Verdana" w:hAnsi="Verdana"/>
                <w:i/>
                <w:iCs/>
                <w:sz w:val="16"/>
                <w:szCs w:val="16"/>
                <w:lang w:val="nl-NL"/>
              </w:rPr>
            </w:pPr>
            <w:r w:rsidRPr="00656C83">
              <w:rPr>
                <w:rFonts w:ascii="Verdana" w:hAnsi="Verdana"/>
                <w:i/>
                <w:iCs/>
                <w:sz w:val="16"/>
                <w:szCs w:val="16"/>
                <w:lang w:val="nl-NL"/>
              </w:rPr>
              <w:t>Darzalex</w:t>
            </w:r>
            <w:r w:rsidR="005E3CA5">
              <w:rPr>
                <w:rFonts w:ascii="Verdana" w:hAnsi="Verdana"/>
                <w:i/>
                <w:iCs/>
                <w:sz w:val="16"/>
                <w:szCs w:val="16"/>
                <w:lang w:val="nl-NL"/>
              </w:rPr>
              <w:t xml:space="preserve"> SC</w:t>
            </w:r>
            <w:r w:rsidRPr="00656C83">
              <w:rPr>
                <w:rFonts w:ascii="Verdana" w:hAnsi="Verdana"/>
                <w:i/>
                <w:iCs/>
                <w:sz w:val="16"/>
                <w:szCs w:val="16"/>
                <w:lang w:val="nl-NL"/>
              </w:rPr>
              <w:t xml:space="preserve"> is geïndiceerd </w:t>
            </w:r>
            <w:r w:rsidRPr="008A6C82">
              <w:rPr>
                <w:rFonts w:ascii="Verdana" w:hAnsi="Verdana"/>
                <w:i/>
                <w:iCs/>
                <w:sz w:val="16"/>
                <w:szCs w:val="16"/>
                <w:lang w:val="nl-NL"/>
              </w:rPr>
              <w:t>in combinatie met bortezomib, thalidomide en dexamethason voor de behandeling van volwassen patiënten met nieuw gediagnosticeerd multipel myeloom die in aanmerking komen voor autologe stamceltransplantatie</w:t>
            </w:r>
            <w:r>
              <w:rPr>
                <w:rFonts w:ascii="Verdana" w:hAnsi="Verdana"/>
                <w:i/>
                <w:iCs/>
                <w:sz w:val="16"/>
                <w:szCs w:val="16"/>
                <w:lang w:val="nl-NL"/>
              </w:rPr>
              <w:t>.</w:t>
            </w:r>
          </w:p>
          <w:p w14:paraId="21977170" w14:textId="49E78B56" w:rsidR="005C36A7" w:rsidRDefault="005C36A7" w:rsidP="0074645D">
            <w:pPr>
              <w:pStyle w:val="Default"/>
              <w:rPr>
                <w:rFonts w:ascii="Verdana" w:hAnsi="Verdana"/>
                <w:i/>
                <w:iCs/>
                <w:sz w:val="16"/>
                <w:szCs w:val="16"/>
                <w:lang w:val="nl-NL"/>
              </w:rPr>
            </w:pPr>
          </w:p>
          <w:p w14:paraId="52D93E2E" w14:textId="0A482A7E" w:rsidR="005C36A7" w:rsidRDefault="005C36A7" w:rsidP="0074645D">
            <w:pPr>
              <w:pStyle w:val="Default"/>
              <w:rPr>
                <w:rFonts w:ascii="Verdana" w:hAnsi="Verdana"/>
                <w:i/>
                <w:iCs/>
                <w:sz w:val="16"/>
                <w:szCs w:val="16"/>
                <w:lang w:val="nl-NL"/>
              </w:rPr>
            </w:pPr>
            <w:r>
              <w:rPr>
                <w:rFonts w:ascii="Verdana" w:hAnsi="Verdana"/>
                <w:i/>
                <w:iCs/>
                <w:sz w:val="16"/>
                <w:szCs w:val="16"/>
                <w:lang w:val="nl-NL"/>
              </w:rPr>
              <w:t xml:space="preserve">Darzalex </w:t>
            </w:r>
            <w:r w:rsidR="005E3CA5">
              <w:rPr>
                <w:rFonts w:ascii="Verdana" w:hAnsi="Verdana"/>
                <w:i/>
                <w:iCs/>
                <w:sz w:val="16"/>
                <w:szCs w:val="16"/>
                <w:lang w:val="nl-NL"/>
              </w:rPr>
              <w:t>SC</w:t>
            </w:r>
            <w:r w:rsidR="00AB2CBF">
              <w:rPr>
                <w:rFonts w:ascii="Verdana" w:hAnsi="Verdana"/>
                <w:i/>
                <w:iCs/>
                <w:sz w:val="16"/>
                <w:szCs w:val="16"/>
                <w:lang w:val="nl-NL"/>
              </w:rPr>
              <w:t xml:space="preserve"> </w:t>
            </w:r>
            <w:r w:rsidR="00AB2CBF" w:rsidRPr="00AB2CBF">
              <w:rPr>
                <w:rFonts w:ascii="Verdana" w:hAnsi="Verdana"/>
                <w:i/>
                <w:iCs/>
                <w:sz w:val="16"/>
                <w:szCs w:val="16"/>
                <w:lang w:val="nl-NL"/>
              </w:rPr>
              <w:t>is geïndiceerd in combinatie met lenalidomide en dexamethason of met bortezomib, melfalan en prednison voor de behandeling van volwassen patiënten met nieuw gediagnosticeerd multipel myeloom die niet in aanmerking komen voor autologe stamceltransplantatie.</w:t>
            </w:r>
            <w:r w:rsidR="005E3CA5">
              <w:rPr>
                <w:rFonts w:ascii="Verdana" w:hAnsi="Verdana"/>
                <w:i/>
                <w:iCs/>
                <w:sz w:val="16"/>
                <w:szCs w:val="16"/>
                <w:lang w:val="nl-NL"/>
              </w:rPr>
              <w:t xml:space="preserve"> </w:t>
            </w:r>
          </w:p>
          <w:p w14:paraId="1E759ECC" w14:textId="77777777" w:rsidR="0074645D" w:rsidRPr="008A6C82" w:rsidRDefault="0074645D" w:rsidP="0074645D">
            <w:pPr>
              <w:pStyle w:val="Default"/>
              <w:rPr>
                <w:rFonts w:ascii="Verdana" w:hAnsi="Verdana"/>
                <w:i/>
                <w:iCs/>
                <w:sz w:val="16"/>
                <w:szCs w:val="16"/>
                <w:lang w:val="nl-NL"/>
              </w:rPr>
            </w:pPr>
          </w:p>
          <w:p w14:paraId="18C5FD70" w14:textId="5A69DFE7" w:rsidR="0014131B" w:rsidRDefault="0074645D" w:rsidP="00FA3D02">
            <w:pPr>
              <w:pStyle w:val="Default"/>
              <w:rPr>
                <w:rFonts w:ascii="Verdana" w:hAnsi="Verdana"/>
                <w:i/>
                <w:iCs/>
                <w:sz w:val="16"/>
                <w:szCs w:val="16"/>
                <w:lang w:val="nl-NL"/>
              </w:rPr>
            </w:pPr>
            <w:r w:rsidRPr="00656C83">
              <w:rPr>
                <w:rFonts w:ascii="Verdana" w:hAnsi="Verdana"/>
                <w:i/>
                <w:iCs/>
                <w:sz w:val="16"/>
                <w:szCs w:val="16"/>
                <w:lang w:val="nl-NL"/>
              </w:rPr>
              <w:t>Darzalex</w:t>
            </w:r>
            <w:r w:rsidR="005E3CA5">
              <w:rPr>
                <w:rFonts w:ascii="Verdana" w:hAnsi="Verdana"/>
                <w:i/>
                <w:iCs/>
                <w:sz w:val="16"/>
                <w:szCs w:val="16"/>
                <w:lang w:val="nl-NL"/>
              </w:rPr>
              <w:t xml:space="preserve"> SC</w:t>
            </w:r>
            <w:r w:rsidRPr="00656C83">
              <w:rPr>
                <w:rFonts w:ascii="Verdana" w:hAnsi="Verdana"/>
                <w:i/>
                <w:iCs/>
                <w:sz w:val="16"/>
                <w:szCs w:val="16"/>
                <w:lang w:val="nl-NL"/>
              </w:rPr>
              <w:t xml:space="preserve"> is geïndiceerd </w:t>
            </w:r>
            <w:r w:rsidRPr="008A6C82">
              <w:rPr>
                <w:rFonts w:ascii="Verdana" w:hAnsi="Verdana"/>
                <w:i/>
                <w:iCs/>
                <w:sz w:val="16"/>
                <w:szCs w:val="16"/>
                <w:lang w:val="nl-NL"/>
              </w:rPr>
              <w:t>als monotherapie voor de behandeling van volwassen patiënten met gerecidiveerd en refractair multipel myeloom, bij wie voorgaande behandeling een proteasoomremmer en een immunomodulerend middel omvatte en die bij de laatste behandeling ziekteprogressie hebben vertoond.</w:t>
            </w:r>
          </w:p>
          <w:p w14:paraId="0EB72C84" w14:textId="4CBFD8F2" w:rsidR="00410E78" w:rsidRDefault="00622CA5" w:rsidP="008A6C82">
            <w:pPr>
              <w:pStyle w:val="Default"/>
              <w:tabs>
                <w:tab w:val="left" w:pos="6780"/>
              </w:tabs>
              <w:rPr>
                <w:rFonts w:ascii="Verdana" w:hAnsi="Verdana"/>
                <w:sz w:val="16"/>
                <w:szCs w:val="16"/>
                <w:lang w:val="nl-NL"/>
              </w:rPr>
            </w:pPr>
            <w:r>
              <w:rPr>
                <w:rFonts w:ascii="Verdana" w:hAnsi="Verdana"/>
                <w:sz w:val="16"/>
                <w:szCs w:val="16"/>
                <w:lang w:val="nl-NL"/>
              </w:rPr>
              <w:tab/>
            </w:r>
          </w:p>
          <w:p w14:paraId="4ACE0C75" w14:textId="4F807938" w:rsidR="00410E78" w:rsidRPr="009875B0" w:rsidRDefault="00410E78" w:rsidP="00410E78">
            <w:pPr>
              <w:pStyle w:val="Default"/>
              <w:rPr>
                <w:rFonts w:ascii="Verdana" w:hAnsi="Verdana"/>
                <w:i/>
                <w:iCs/>
                <w:sz w:val="16"/>
                <w:szCs w:val="16"/>
                <w:lang w:val="nl-NL"/>
              </w:rPr>
            </w:pPr>
            <w:r w:rsidRPr="009875B0">
              <w:rPr>
                <w:rFonts w:ascii="Verdana" w:hAnsi="Verdana"/>
                <w:i/>
                <w:iCs/>
                <w:sz w:val="16"/>
                <w:szCs w:val="16"/>
                <w:lang w:val="nl-NL"/>
              </w:rPr>
              <w:t>AL-amyloïdose</w:t>
            </w:r>
          </w:p>
          <w:p w14:paraId="50E6389C" w14:textId="21245734" w:rsidR="00410E78" w:rsidRPr="008A6C82" w:rsidRDefault="005E3CA5" w:rsidP="00FA3D02">
            <w:pPr>
              <w:pStyle w:val="Default"/>
              <w:rPr>
                <w:rFonts w:ascii="Verdana" w:hAnsi="Verdana"/>
                <w:sz w:val="16"/>
                <w:szCs w:val="16"/>
                <w:lang w:val="nl-NL"/>
              </w:rPr>
            </w:pPr>
            <w:r w:rsidRPr="009875B0">
              <w:rPr>
                <w:rFonts w:ascii="Verdana" w:hAnsi="Verdana"/>
                <w:i/>
                <w:iCs/>
                <w:sz w:val="16"/>
                <w:szCs w:val="16"/>
                <w:lang w:val="nl-NL"/>
              </w:rPr>
              <w:t xml:space="preserve">Darzalex SC </w:t>
            </w:r>
            <w:r w:rsidR="00410E78" w:rsidRPr="009875B0">
              <w:rPr>
                <w:rFonts w:ascii="Verdana" w:hAnsi="Verdana"/>
                <w:i/>
                <w:iCs/>
                <w:sz w:val="16"/>
                <w:szCs w:val="16"/>
                <w:lang w:val="nl-NL"/>
              </w:rPr>
              <w:t>is geïndiceerd in combinatie met cyclofosfamide, bortezomib en dexamethason voor de behandeling van volwassen patiënten met nieuw gediagnosticeerde systemische lichte-keten (AL)-amyloïdose.</w:t>
            </w:r>
          </w:p>
        </w:tc>
      </w:tr>
      <w:tr w:rsidR="00BF29C9" w14:paraId="7C71F43A" w14:textId="77777777" w:rsidTr="313298E9">
        <w:tc>
          <w:tcPr>
            <w:tcW w:w="1770" w:type="dxa"/>
          </w:tcPr>
          <w:p w14:paraId="1C6F9838" w14:textId="52BFDD92" w:rsidR="007E4CBB" w:rsidRPr="00F240FC" w:rsidRDefault="007E4CBB">
            <w:pPr>
              <w:rPr>
                <w:rFonts w:ascii="Verdana" w:hAnsi="Verdana"/>
                <w:sz w:val="20"/>
                <w:szCs w:val="20"/>
              </w:rPr>
            </w:pPr>
            <w:r w:rsidRPr="00F240FC">
              <w:rPr>
                <w:rFonts w:ascii="Verdana" w:hAnsi="Verdana"/>
                <w:sz w:val="20"/>
                <w:szCs w:val="20"/>
              </w:rPr>
              <w:t xml:space="preserve">Is het middel </w:t>
            </w:r>
            <w:proofErr w:type="spellStart"/>
            <w:r w:rsidRPr="00F240FC">
              <w:rPr>
                <w:rFonts w:ascii="Verdana" w:hAnsi="Verdana"/>
                <w:sz w:val="20"/>
                <w:szCs w:val="20"/>
              </w:rPr>
              <w:t>geregi</w:t>
            </w:r>
            <w:r w:rsidR="00061F7F">
              <w:rPr>
                <w:rFonts w:ascii="Verdana" w:hAnsi="Verdana"/>
                <w:sz w:val="20"/>
                <w:szCs w:val="20"/>
              </w:rPr>
              <w:t>-</w:t>
            </w:r>
            <w:r w:rsidRPr="00F240FC">
              <w:rPr>
                <w:rFonts w:ascii="Verdana" w:hAnsi="Verdana"/>
                <w:sz w:val="20"/>
                <w:szCs w:val="20"/>
              </w:rPr>
              <w:t>streerd</w:t>
            </w:r>
            <w:proofErr w:type="spellEnd"/>
            <w:r w:rsidRPr="00F240FC">
              <w:rPr>
                <w:rFonts w:ascii="Verdana" w:hAnsi="Verdana"/>
                <w:sz w:val="20"/>
                <w:szCs w:val="20"/>
              </w:rPr>
              <w:t xml:space="preserve"> voor de indicatie?</w:t>
            </w:r>
          </w:p>
        </w:tc>
        <w:tc>
          <w:tcPr>
            <w:tcW w:w="7580" w:type="dxa"/>
          </w:tcPr>
          <w:p w14:paraId="002F6E78" w14:textId="77777777" w:rsidR="0014131B" w:rsidRDefault="0014131B" w:rsidP="00B453CB">
            <w:pPr>
              <w:rPr>
                <w:rFonts w:ascii="Verdana" w:hAnsi="Verdana"/>
                <w:sz w:val="20"/>
                <w:szCs w:val="20"/>
              </w:rPr>
            </w:pPr>
          </w:p>
          <w:p w14:paraId="36ADA811" w14:textId="001B8A38" w:rsidR="005565C2" w:rsidRPr="00F240FC" w:rsidRDefault="00F76798" w:rsidP="00B453CB">
            <w:pPr>
              <w:rPr>
                <w:rFonts w:ascii="Verdana" w:hAnsi="Verdana"/>
                <w:sz w:val="20"/>
                <w:szCs w:val="20"/>
              </w:rPr>
            </w:pPr>
            <w:r w:rsidRPr="003A253D">
              <w:rPr>
                <w:rFonts w:ascii="Verdana" w:hAnsi="Verdana"/>
                <w:sz w:val="20"/>
                <w:szCs w:val="20"/>
              </w:rPr>
              <w:t xml:space="preserve">Darzalex </w:t>
            </w:r>
            <w:r w:rsidR="005E3CA5">
              <w:rPr>
                <w:rFonts w:ascii="Verdana" w:hAnsi="Verdana"/>
                <w:sz w:val="20"/>
                <w:szCs w:val="20"/>
              </w:rPr>
              <w:t xml:space="preserve">SC </w:t>
            </w:r>
            <w:r w:rsidR="00F40391" w:rsidRPr="00F240FC">
              <w:rPr>
                <w:rFonts w:ascii="Verdana" w:hAnsi="Verdana"/>
                <w:sz w:val="20"/>
                <w:szCs w:val="20"/>
              </w:rPr>
              <w:t xml:space="preserve">is geregistreerd voor </w:t>
            </w:r>
            <w:r>
              <w:rPr>
                <w:rFonts w:ascii="Verdana" w:hAnsi="Verdana"/>
                <w:sz w:val="20"/>
                <w:szCs w:val="20"/>
              </w:rPr>
              <w:t xml:space="preserve">de </w:t>
            </w:r>
            <w:r w:rsidR="00F6195D">
              <w:rPr>
                <w:rFonts w:ascii="Verdana" w:hAnsi="Verdana"/>
                <w:sz w:val="20"/>
                <w:szCs w:val="20"/>
              </w:rPr>
              <w:t>bovengenoemde indicatie</w:t>
            </w:r>
            <w:r w:rsidR="004B1BD2">
              <w:rPr>
                <w:rFonts w:ascii="Verdana" w:hAnsi="Verdana"/>
                <w:sz w:val="20"/>
                <w:szCs w:val="20"/>
              </w:rPr>
              <w:t>s.</w:t>
            </w:r>
          </w:p>
          <w:p w14:paraId="3F15700A" w14:textId="77777777" w:rsidR="003E6978" w:rsidRDefault="003E6978" w:rsidP="00EF57EC">
            <w:pPr>
              <w:jc w:val="right"/>
              <w:rPr>
                <w:rFonts w:ascii="Verdana" w:hAnsi="Verdana"/>
                <w:sz w:val="20"/>
                <w:szCs w:val="20"/>
              </w:rPr>
            </w:pPr>
          </w:p>
          <w:p w14:paraId="34780C05" w14:textId="77777777" w:rsidR="009E2C7E" w:rsidRPr="00F1497C" w:rsidRDefault="009E2C7E" w:rsidP="0086059D">
            <w:pPr>
              <w:rPr>
                <w:rFonts w:ascii="Verdana" w:hAnsi="Verdana"/>
                <w:sz w:val="20"/>
                <w:szCs w:val="20"/>
              </w:rPr>
            </w:pPr>
          </w:p>
        </w:tc>
      </w:tr>
      <w:tr w:rsidR="00CB1297" w14:paraId="60F03650" w14:textId="77777777" w:rsidTr="313298E9">
        <w:tc>
          <w:tcPr>
            <w:tcW w:w="1770" w:type="dxa"/>
          </w:tcPr>
          <w:p w14:paraId="3AB36229" w14:textId="25A41138" w:rsidR="00CB1297" w:rsidRPr="00A6480C" w:rsidRDefault="00CB1297" w:rsidP="00CB1297">
            <w:pPr>
              <w:rPr>
                <w:rFonts w:ascii="Verdana" w:hAnsi="Verdana"/>
                <w:color w:val="000000" w:themeColor="text1"/>
                <w:sz w:val="20"/>
                <w:szCs w:val="20"/>
              </w:rPr>
            </w:pPr>
            <w:r>
              <w:rPr>
                <w:rFonts w:ascii="Verdana" w:hAnsi="Verdana"/>
                <w:color w:val="000000" w:themeColor="text1"/>
                <w:sz w:val="20"/>
                <w:szCs w:val="20"/>
              </w:rPr>
              <w:lastRenderedPageBreak/>
              <w:t>Declaratie</w:t>
            </w:r>
            <w:r w:rsidR="00061F7F">
              <w:rPr>
                <w:rFonts w:ascii="Verdana" w:hAnsi="Verdana"/>
                <w:color w:val="000000" w:themeColor="text1"/>
                <w:sz w:val="20"/>
                <w:szCs w:val="20"/>
              </w:rPr>
              <w:t>-</w:t>
            </w:r>
            <w:r>
              <w:rPr>
                <w:rFonts w:ascii="Verdana" w:hAnsi="Verdana"/>
                <w:color w:val="000000" w:themeColor="text1"/>
                <w:sz w:val="20"/>
                <w:szCs w:val="20"/>
              </w:rPr>
              <w:t>codes</w:t>
            </w:r>
          </w:p>
        </w:tc>
        <w:tc>
          <w:tcPr>
            <w:tcW w:w="7580" w:type="dxa"/>
          </w:tcPr>
          <w:p w14:paraId="254A8827" w14:textId="57633053" w:rsidR="28108D9F" w:rsidRDefault="28108D9F" w:rsidP="313298E9">
            <w:pPr>
              <w:rPr>
                <w:rFonts w:ascii="Verdana" w:eastAsia="Verdana" w:hAnsi="Verdana" w:cs="Verdana"/>
                <w:sz w:val="20"/>
                <w:szCs w:val="20"/>
              </w:rPr>
            </w:pPr>
            <w:r w:rsidRPr="313298E9">
              <w:rPr>
                <w:rFonts w:ascii="Verdana" w:eastAsia="Verdana" w:hAnsi="Verdana" w:cs="Verdana"/>
                <w:sz w:val="20"/>
                <w:szCs w:val="20"/>
              </w:rPr>
              <w:t>De declaratiecode (ZI-nummer daratumumab</w:t>
            </w:r>
            <w:r w:rsidR="00036A79">
              <w:rPr>
                <w:rFonts w:ascii="Verdana" w:eastAsia="Verdana" w:hAnsi="Verdana" w:cs="Verdana"/>
                <w:sz w:val="20"/>
                <w:szCs w:val="20"/>
              </w:rPr>
              <w:t xml:space="preserve"> SC</w:t>
            </w:r>
            <w:r w:rsidRPr="313298E9">
              <w:rPr>
                <w:rFonts w:ascii="Verdana" w:eastAsia="Verdana" w:hAnsi="Verdana" w:cs="Verdana"/>
                <w:sz w:val="20"/>
                <w:szCs w:val="20"/>
              </w:rPr>
              <w:t xml:space="preserve"> 1800mg) </w:t>
            </w:r>
            <w:r w:rsidRPr="0020040B">
              <w:rPr>
                <w:rFonts w:ascii="Verdana" w:eastAsia="Verdana" w:hAnsi="Verdana" w:cs="Verdana"/>
                <w:sz w:val="20"/>
                <w:szCs w:val="20"/>
              </w:rPr>
              <w:t>16906748</w:t>
            </w:r>
          </w:p>
          <w:p w14:paraId="6628420E" w14:textId="68E2D92C" w:rsidR="313298E9" w:rsidRDefault="313298E9" w:rsidP="313298E9">
            <w:pPr>
              <w:spacing w:line="293" w:lineRule="atLeast"/>
              <w:ind w:right="149"/>
              <w:rPr>
                <w:rFonts w:ascii="Verdana" w:eastAsia="Verdana" w:hAnsi="Verdana" w:cs="Verdana"/>
                <w:sz w:val="20"/>
                <w:szCs w:val="20"/>
              </w:rPr>
            </w:pPr>
          </w:p>
          <w:p w14:paraId="73AA17A2" w14:textId="22280899" w:rsidR="28108D9F" w:rsidRDefault="28108D9F" w:rsidP="313298E9">
            <w:pPr>
              <w:spacing w:line="293" w:lineRule="atLeast"/>
              <w:ind w:right="149"/>
              <w:rPr>
                <w:rFonts w:ascii="Verdana" w:eastAsia="Verdana" w:hAnsi="Verdana" w:cs="Verdana"/>
                <w:sz w:val="20"/>
                <w:szCs w:val="20"/>
              </w:rPr>
            </w:pPr>
            <w:r w:rsidRPr="313298E9">
              <w:rPr>
                <w:rFonts w:ascii="Verdana" w:eastAsia="Verdana" w:hAnsi="Verdana" w:cs="Verdana"/>
                <w:sz w:val="20"/>
                <w:szCs w:val="20"/>
              </w:rPr>
              <w:t xml:space="preserve">Darzalex </w:t>
            </w:r>
            <w:r w:rsidR="00D510E3">
              <w:rPr>
                <w:rFonts w:ascii="Verdana" w:eastAsia="Verdana" w:hAnsi="Verdana" w:cs="Verdana"/>
                <w:sz w:val="20"/>
                <w:szCs w:val="20"/>
              </w:rPr>
              <w:t xml:space="preserve">SC </w:t>
            </w:r>
            <w:r w:rsidR="00036A79">
              <w:rPr>
                <w:rFonts w:ascii="Verdana" w:eastAsia="Verdana" w:hAnsi="Verdana" w:cs="Verdana"/>
                <w:sz w:val="20"/>
                <w:szCs w:val="20"/>
              </w:rPr>
              <w:t xml:space="preserve">kan </w:t>
            </w:r>
            <w:r w:rsidRPr="313298E9">
              <w:rPr>
                <w:rFonts w:ascii="Verdana" w:eastAsia="Verdana" w:hAnsi="Verdana" w:cs="Verdana"/>
                <w:sz w:val="20"/>
                <w:szCs w:val="20"/>
              </w:rPr>
              <w:t>gedeclareerd worden op bovenstaande ZI-nummer in combinatie met de volgende indicatiecodes:</w:t>
            </w:r>
          </w:p>
          <w:p w14:paraId="5DF4A6B7" w14:textId="16442E1C" w:rsidR="313298E9" w:rsidRDefault="313298E9" w:rsidP="313298E9">
            <w:pPr>
              <w:rPr>
                <w:rFonts w:ascii="Verdana" w:eastAsia="Verdana" w:hAnsi="Verdana" w:cs="Verdana"/>
                <w:color w:val="19161B"/>
                <w:sz w:val="20"/>
                <w:szCs w:val="20"/>
              </w:rPr>
            </w:pPr>
          </w:p>
          <w:p w14:paraId="10DBC7FF" w14:textId="4602BE2C" w:rsidR="00036A79" w:rsidRPr="00EA1208" w:rsidRDefault="00036A79" w:rsidP="00036A79">
            <w:pPr>
              <w:rPr>
                <w:rFonts w:ascii="Verdana" w:hAnsi="Verdana"/>
                <w:color w:val="000000" w:themeColor="text1"/>
                <w:sz w:val="20"/>
                <w:szCs w:val="20"/>
              </w:rPr>
            </w:pPr>
            <w:r w:rsidRPr="00EA1208">
              <w:rPr>
                <w:rFonts w:ascii="Verdana" w:hAnsi="Verdana"/>
                <w:color w:val="000000" w:themeColor="text1"/>
                <w:sz w:val="20"/>
                <w:szCs w:val="20"/>
              </w:rPr>
              <w:t xml:space="preserve">Combinatietherapie </w:t>
            </w:r>
            <w:proofErr w:type="spellStart"/>
            <w:r w:rsidRPr="00EA1208">
              <w:rPr>
                <w:rFonts w:ascii="Verdana" w:hAnsi="Verdana"/>
                <w:color w:val="000000" w:themeColor="text1"/>
                <w:sz w:val="20"/>
                <w:szCs w:val="20"/>
              </w:rPr>
              <w:t>DRd</w:t>
            </w:r>
            <w:proofErr w:type="spellEnd"/>
            <w:r>
              <w:rPr>
                <w:rFonts w:ascii="Verdana" w:hAnsi="Verdana"/>
                <w:color w:val="000000" w:themeColor="text1"/>
                <w:sz w:val="20"/>
                <w:szCs w:val="20"/>
              </w:rPr>
              <w:t xml:space="preserve"> in eerste lijn</w:t>
            </w:r>
            <w:r w:rsidR="000D1762">
              <w:rPr>
                <w:rFonts w:ascii="Verdana" w:hAnsi="Verdana"/>
                <w:color w:val="000000" w:themeColor="text1"/>
                <w:sz w:val="20"/>
                <w:szCs w:val="20"/>
                <w:vertAlign w:val="superscript"/>
              </w:rPr>
              <w:t>2</w:t>
            </w:r>
            <w:r w:rsidRPr="00EA1208">
              <w:rPr>
                <w:rFonts w:ascii="Verdana" w:hAnsi="Verdana"/>
                <w:color w:val="000000" w:themeColor="text1"/>
                <w:sz w:val="20"/>
                <w:szCs w:val="20"/>
              </w:rPr>
              <w:t xml:space="preserve">              </w:t>
            </w:r>
            <w:r>
              <w:rPr>
                <w:rFonts w:ascii="Verdana" w:hAnsi="Verdana"/>
                <w:color w:val="000000" w:themeColor="text1"/>
                <w:sz w:val="20"/>
                <w:szCs w:val="20"/>
              </w:rPr>
              <w:tab/>
            </w:r>
            <w:r>
              <w:rPr>
                <w:rFonts w:ascii="Verdana" w:hAnsi="Verdana"/>
                <w:color w:val="000000" w:themeColor="text1"/>
                <w:sz w:val="20"/>
                <w:szCs w:val="20"/>
              </w:rPr>
              <w:tab/>
            </w:r>
            <w:r w:rsidRPr="00EA1208">
              <w:rPr>
                <w:rFonts w:ascii="Verdana" w:hAnsi="Verdana"/>
                <w:color w:val="000000" w:themeColor="text1"/>
                <w:sz w:val="20"/>
                <w:szCs w:val="20"/>
              </w:rPr>
              <w:t>2751</w:t>
            </w:r>
          </w:p>
          <w:p w14:paraId="3F447BAF" w14:textId="1244E44A" w:rsidR="00036A79" w:rsidRDefault="00036A79" w:rsidP="0020040B">
            <w:pPr>
              <w:pStyle w:val="Default"/>
              <w:rPr>
                <w:rFonts w:ascii="Verdana" w:eastAsia="Verdana" w:hAnsi="Verdana" w:cs="Verdana"/>
                <w:color w:val="19161B"/>
                <w:sz w:val="20"/>
                <w:szCs w:val="20"/>
                <w:lang w:val="nl-NL"/>
              </w:rPr>
            </w:pPr>
            <w:r w:rsidRPr="313298E9">
              <w:rPr>
                <w:rFonts w:ascii="Verdana" w:eastAsia="Verdana" w:hAnsi="Verdana" w:cs="Verdana"/>
                <w:color w:val="19161B"/>
                <w:sz w:val="20"/>
                <w:szCs w:val="20"/>
                <w:lang w:val="nl-NL"/>
              </w:rPr>
              <w:t>Combinatietherapie DVMP</w:t>
            </w:r>
            <w:r w:rsidR="000D1762">
              <w:rPr>
                <w:rFonts w:ascii="Verdana" w:eastAsia="Verdana" w:hAnsi="Verdana" w:cs="Verdana"/>
                <w:color w:val="19161B"/>
                <w:sz w:val="20"/>
                <w:szCs w:val="20"/>
                <w:vertAlign w:val="superscript"/>
                <w:lang w:val="nl-NL"/>
              </w:rPr>
              <w:t>3</w:t>
            </w:r>
            <w:r w:rsidRPr="313298E9">
              <w:rPr>
                <w:rFonts w:ascii="Verdana" w:eastAsia="Verdana" w:hAnsi="Verdana" w:cs="Verdana"/>
                <w:color w:val="19161B"/>
                <w:sz w:val="20"/>
                <w:szCs w:val="20"/>
                <w:lang w:val="nl-NL"/>
              </w:rPr>
              <w:t>               </w:t>
            </w:r>
            <w:r>
              <w:rPr>
                <w:rFonts w:ascii="Verdana" w:eastAsia="Verdana" w:hAnsi="Verdana" w:cs="Verdana"/>
                <w:color w:val="19161B"/>
                <w:sz w:val="20"/>
                <w:szCs w:val="20"/>
                <w:lang w:val="nl-NL"/>
              </w:rPr>
              <w:t xml:space="preserve"> </w:t>
            </w:r>
            <w:r>
              <w:rPr>
                <w:rFonts w:ascii="Verdana" w:eastAsia="Verdana" w:hAnsi="Verdana" w:cs="Verdana"/>
                <w:color w:val="19161B"/>
                <w:sz w:val="20"/>
                <w:szCs w:val="20"/>
                <w:lang w:val="nl-NL"/>
              </w:rPr>
              <w:tab/>
            </w:r>
            <w:r>
              <w:rPr>
                <w:rFonts w:ascii="Verdana" w:eastAsia="Verdana" w:hAnsi="Verdana" w:cs="Verdana"/>
                <w:color w:val="19161B"/>
                <w:sz w:val="20"/>
                <w:szCs w:val="20"/>
                <w:lang w:val="nl-NL"/>
              </w:rPr>
              <w:tab/>
            </w:r>
            <w:r>
              <w:rPr>
                <w:rFonts w:ascii="Verdana" w:eastAsia="Verdana" w:hAnsi="Verdana" w:cs="Verdana"/>
                <w:color w:val="19161B"/>
                <w:sz w:val="20"/>
                <w:szCs w:val="20"/>
                <w:lang w:val="nl-NL"/>
              </w:rPr>
              <w:tab/>
            </w:r>
            <w:r w:rsidRPr="313298E9">
              <w:rPr>
                <w:rFonts w:ascii="Verdana" w:eastAsia="Verdana" w:hAnsi="Verdana" w:cs="Verdana"/>
                <w:color w:val="19161B"/>
                <w:sz w:val="20"/>
                <w:szCs w:val="20"/>
                <w:lang w:val="nl-NL"/>
              </w:rPr>
              <w:t xml:space="preserve">1635 </w:t>
            </w:r>
          </w:p>
          <w:p w14:paraId="4149C7F5" w14:textId="498DD375" w:rsidR="00036A79" w:rsidRPr="00EA1208" w:rsidRDefault="00036A79" w:rsidP="00036A79">
            <w:pPr>
              <w:rPr>
                <w:rFonts w:ascii="Verdana" w:hAnsi="Verdana"/>
                <w:color w:val="000000" w:themeColor="text1"/>
                <w:sz w:val="20"/>
                <w:szCs w:val="20"/>
              </w:rPr>
            </w:pPr>
            <w:r w:rsidRPr="00EA1208">
              <w:rPr>
                <w:rFonts w:ascii="Verdana" w:hAnsi="Verdana"/>
                <w:color w:val="000000" w:themeColor="text1"/>
                <w:sz w:val="20"/>
                <w:szCs w:val="20"/>
              </w:rPr>
              <w:t>Combinatietherapie DVTd</w:t>
            </w:r>
            <w:r w:rsidR="000D1762">
              <w:rPr>
                <w:rFonts w:ascii="Verdana" w:hAnsi="Verdana"/>
                <w:color w:val="000000" w:themeColor="text1"/>
                <w:sz w:val="20"/>
                <w:szCs w:val="20"/>
                <w:vertAlign w:val="superscript"/>
              </w:rPr>
              <w:t>4</w:t>
            </w:r>
            <w:r w:rsidRPr="00EA1208">
              <w:rPr>
                <w:rFonts w:ascii="Verdana" w:hAnsi="Verdana"/>
                <w:color w:val="000000" w:themeColor="text1"/>
                <w:sz w:val="20"/>
                <w:szCs w:val="20"/>
              </w:rPr>
              <w:t xml:space="preserve">            </w:t>
            </w:r>
            <w:r>
              <w:rPr>
                <w:rFonts w:ascii="Verdana" w:hAnsi="Verdana"/>
                <w:color w:val="000000" w:themeColor="text1"/>
                <w:sz w:val="20"/>
                <w:szCs w:val="20"/>
              </w:rPr>
              <w:tab/>
            </w:r>
            <w:r>
              <w:rPr>
                <w:rFonts w:ascii="Verdana" w:hAnsi="Verdana"/>
                <w:color w:val="000000" w:themeColor="text1"/>
                <w:sz w:val="20"/>
                <w:szCs w:val="20"/>
              </w:rPr>
              <w:tab/>
            </w:r>
            <w:r>
              <w:rPr>
                <w:rFonts w:ascii="Verdana" w:hAnsi="Verdana"/>
                <w:color w:val="000000" w:themeColor="text1"/>
                <w:sz w:val="20"/>
                <w:szCs w:val="20"/>
              </w:rPr>
              <w:tab/>
            </w:r>
            <w:r>
              <w:rPr>
                <w:rFonts w:ascii="Verdana" w:hAnsi="Verdana"/>
                <w:color w:val="000000" w:themeColor="text1"/>
                <w:sz w:val="20"/>
                <w:szCs w:val="20"/>
              </w:rPr>
              <w:tab/>
            </w:r>
            <w:r w:rsidRPr="00EA1208">
              <w:rPr>
                <w:rFonts w:ascii="Verdana" w:hAnsi="Verdana"/>
                <w:color w:val="000000" w:themeColor="text1"/>
                <w:sz w:val="20"/>
                <w:szCs w:val="20"/>
              </w:rPr>
              <w:t>2767</w:t>
            </w:r>
          </w:p>
          <w:p w14:paraId="459A9904" w14:textId="1357A3E0" w:rsidR="0020040B" w:rsidRDefault="0020040B" w:rsidP="0020040B">
            <w:pPr>
              <w:pStyle w:val="Default"/>
              <w:rPr>
                <w:rFonts w:ascii="Verdana" w:eastAsia="Verdana" w:hAnsi="Verdana" w:cs="Verdana"/>
                <w:color w:val="19161B"/>
                <w:sz w:val="20"/>
                <w:szCs w:val="20"/>
                <w:lang w:val="nl-NL"/>
              </w:rPr>
            </w:pPr>
            <w:r w:rsidRPr="313298E9">
              <w:rPr>
                <w:rFonts w:ascii="Verdana" w:eastAsia="Verdana" w:hAnsi="Verdana" w:cs="Verdana"/>
                <w:color w:val="19161B"/>
                <w:sz w:val="20"/>
                <w:szCs w:val="20"/>
                <w:lang w:val="nl-NL"/>
              </w:rPr>
              <w:t xml:space="preserve">Combinatietherapie </w:t>
            </w:r>
            <w:proofErr w:type="spellStart"/>
            <w:r w:rsidRPr="313298E9">
              <w:rPr>
                <w:rFonts w:ascii="Verdana" w:eastAsia="Verdana" w:hAnsi="Verdana" w:cs="Verdana"/>
                <w:color w:val="19161B"/>
                <w:sz w:val="20"/>
                <w:szCs w:val="20"/>
                <w:lang w:val="nl-NL"/>
              </w:rPr>
              <w:t>DRd</w:t>
            </w:r>
            <w:proofErr w:type="spellEnd"/>
            <w:r w:rsidRPr="313298E9">
              <w:rPr>
                <w:rFonts w:ascii="Verdana" w:eastAsia="Verdana" w:hAnsi="Verdana" w:cs="Verdana"/>
                <w:color w:val="19161B"/>
                <w:sz w:val="20"/>
                <w:szCs w:val="20"/>
                <w:lang w:val="nl-NL"/>
              </w:rPr>
              <w:t xml:space="preserve"> &amp; </w:t>
            </w:r>
            <w:proofErr w:type="spellStart"/>
            <w:r w:rsidRPr="313298E9">
              <w:rPr>
                <w:rFonts w:ascii="Verdana" w:eastAsia="Verdana" w:hAnsi="Verdana" w:cs="Verdana"/>
                <w:color w:val="19161B"/>
                <w:sz w:val="20"/>
                <w:szCs w:val="20"/>
                <w:lang w:val="nl-NL"/>
              </w:rPr>
              <w:t>DVd</w:t>
            </w:r>
            <w:proofErr w:type="spellEnd"/>
            <w:r w:rsidR="00036A79">
              <w:rPr>
                <w:rFonts w:ascii="Verdana" w:eastAsia="Verdana" w:hAnsi="Verdana" w:cs="Verdana"/>
                <w:color w:val="19161B"/>
                <w:sz w:val="20"/>
                <w:szCs w:val="20"/>
                <w:lang w:val="nl-NL"/>
              </w:rPr>
              <w:t xml:space="preserve"> vanaf tweede lijn</w:t>
            </w:r>
            <w:r w:rsidR="000D1762" w:rsidRPr="000D1762">
              <w:rPr>
                <w:rFonts w:ascii="Verdana" w:eastAsia="Verdana" w:hAnsi="Verdana" w:cs="Verdana"/>
                <w:color w:val="19161B"/>
                <w:sz w:val="20"/>
                <w:szCs w:val="20"/>
                <w:vertAlign w:val="superscript"/>
                <w:lang w:val="nl-NL"/>
              </w:rPr>
              <w:t>5,6</w:t>
            </w:r>
            <w:r w:rsidRPr="000D1762">
              <w:rPr>
                <w:rFonts w:ascii="Verdana" w:eastAsia="Verdana" w:hAnsi="Verdana" w:cs="Verdana"/>
                <w:color w:val="19161B"/>
                <w:sz w:val="20"/>
                <w:szCs w:val="20"/>
                <w:vertAlign w:val="superscript"/>
                <w:lang w:val="nl-NL"/>
              </w:rPr>
              <w:t xml:space="preserve">    </w:t>
            </w:r>
            <w:r w:rsidR="00036A79">
              <w:rPr>
                <w:rFonts w:ascii="Verdana" w:eastAsia="Verdana" w:hAnsi="Verdana" w:cs="Verdana"/>
                <w:color w:val="19161B"/>
                <w:sz w:val="20"/>
                <w:szCs w:val="20"/>
                <w:lang w:val="nl-NL"/>
              </w:rPr>
              <w:tab/>
            </w:r>
            <w:r w:rsidRPr="313298E9">
              <w:rPr>
                <w:rFonts w:ascii="Verdana" w:eastAsia="Verdana" w:hAnsi="Verdana" w:cs="Verdana"/>
                <w:color w:val="19161B"/>
                <w:sz w:val="20"/>
                <w:szCs w:val="20"/>
                <w:lang w:val="nl-NL"/>
              </w:rPr>
              <w:t xml:space="preserve">1472 </w:t>
            </w:r>
          </w:p>
          <w:p w14:paraId="04B9E186" w14:textId="5A98DC17" w:rsidR="00036A79" w:rsidRPr="00036A79" w:rsidRDefault="00036A79" w:rsidP="00036A79">
            <w:pPr>
              <w:rPr>
                <w:rFonts w:ascii="Verdana" w:hAnsi="Verdana"/>
                <w:color w:val="000000" w:themeColor="text1"/>
                <w:sz w:val="20"/>
                <w:szCs w:val="20"/>
              </w:rPr>
            </w:pPr>
            <w:r w:rsidRPr="00EA1208">
              <w:rPr>
                <w:rFonts w:ascii="Verdana" w:hAnsi="Verdana"/>
                <w:color w:val="000000" w:themeColor="text1"/>
                <w:sz w:val="20"/>
                <w:szCs w:val="20"/>
              </w:rPr>
              <w:t>Combinatietherapie DPd</w:t>
            </w:r>
            <w:r w:rsidR="000D1762">
              <w:rPr>
                <w:rFonts w:ascii="Verdana" w:hAnsi="Verdana"/>
                <w:color w:val="000000" w:themeColor="text1"/>
                <w:sz w:val="20"/>
                <w:szCs w:val="20"/>
                <w:vertAlign w:val="superscript"/>
              </w:rPr>
              <w:t>7</w:t>
            </w:r>
            <w:r w:rsidRPr="00EA1208">
              <w:rPr>
                <w:rFonts w:ascii="Verdana" w:hAnsi="Verdana"/>
                <w:color w:val="000000" w:themeColor="text1"/>
                <w:sz w:val="20"/>
                <w:szCs w:val="20"/>
              </w:rPr>
              <w:t xml:space="preserve">                 </w:t>
            </w:r>
            <w:r>
              <w:rPr>
                <w:rFonts w:ascii="Verdana" w:hAnsi="Verdana"/>
                <w:color w:val="000000" w:themeColor="text1"/>
                <w:sz w:val="20"/>
                <w:szCs w:val="20"/>
              </w:rPr>
              <w:tab/>
            </w:r>
            <w:r>
              <w:rPr>
                <w:rFonts w:ascii="Verdana" w:hAnsi="Verdana"/>
                <w:color w:val="000000" w:themeColor="text1"/>
                <w:sz w:val="20"/>
                <w:szCs w:val="20"/>
              </w:rPr>
              <w:tab/>
            </w:r>
            <w:r>
              <w:rPr>
                <w:rFonts w:ascii="Verdana" w:hAnsi="Verdana"/>
                <w:color w:val="000000" w:themeColor="text1"/>
                <w:sz w:val="20"/>
                <w:szCs w:val="20"/>
              </w:rPr>
              <w:tab/>
            </w:r>
            <w:r w:rsidRPr="00EA1208">
              <w:rPr>
                <w:rFonts w:ascii="Verdana" w:hAnsi="Verdana"/>
                <w:color w:val="000000" w:themeColor="text1"/>
                <w:sz w:val="20"/>
                <w:szCs w:val="20"/>
              </w:rPr>
              <w:t>2914</w:t>
            </w:r>
          </w:p>
          <w:p w14:paraId="612CD6D8" w14:textId="412A6C10" w:rsidR="0020040B" w:rsidRDefault="0020040B" w:rsidP="0020040B">
            <w:pPr>
              <w:pStyle w:val="Default"/>
              <w:rPr>
                <w:rFonts w:ascii="Verdana" w:eastAsia="Verdana" w:hAnsi="Verdana" w:cs="Verdana"/>
                <w:color w:val="19161B"/>
                <w:sz w:val="20"/>
                <w:szCs w:val="20"/>
                <w:lang w:val="nl-NL"/>
              </w:rPr>
            </w:pPr>
            <w:r w:rsidRPr="313298E9">
              <w:rPr>
                <w:rFonts w:ascii="Verdana" w:eastAsia="Verdana" w:hAnsi="Verdana" w:cs="Verdana"/>
                <w:color w:val="19161B"/>
                <w:sz w:val="20"/>
                <w:szCs w:val="20"/>
                <w:lang w:val="nl-NL"/>
              </w:rPr>
              <w:t>Monotherapie</w:t>
            </w:r>
            <w:r w:rsidR="000D1762">
              <w:rPr>
                <w:rFonts w:ascii="Verdana" w:eastAsia="Verdana" w:hAnsi="Verdana" w:cs="Verdana"/>
                <w:color w:val="19161B"/>
                <w:sz w:val="20"/>
                <w:szCs w:val="20"/>
                <w:vertAlign w:val="superscript"/>
                <w:lang w:val="nl-NL"/>
              </w:rPr>
              <w:t>8-10</w:t>
            </w:r>
            <w:r w:rsidRPr="313298E9">
              <w:rPr>
                <w:rFonts w:ascii="Verdana" w:eastAsia="Verdana" w:hAnsi="Verdana" w:cs="Verdana"/>
                <w:color w:val="19161B"/>
                <w:sz w:val="20"/>
                <w:szCs w:val="20"/>
                <w:lang w:val="nl-NL"/>
              </w:rPr>
              <w:t xml:space="preserve">                                 </w:t>
            </w:r>
            <w:r>
              <w:rPr>
                <w:rFonts w:ascii="Verdana" w:eastAsia="Verdana" w:hAnsi="Verdana" w:cs="Verdana"/>
                <w:color w:val="19161B"/>
                <w:sz w:val="20"/>
                <w:szCs w:val="20"/>
                <w:lang w:val="nl-NL"/>
              </w:rPr>
              <w:t xml:space="preserve"> </w:t>
            </w:r>
            <w:r w:rsidR="00036A79">
              <w:rPr>
                <w:rFonts w:ascii="Verdana" w:eastAsia="Verdana" w:hAnsi="Verdana" w:cs="Verdana"/>
                <w:color w:val="19161B"/>
                <w:sz w:val="20"/>
                <w:szCs w:val="20"/>
                <w:lang w:val="nl-NL"/>
              </w:rPr>
              <w:tab/>
            </w:r>
            <w:r w:rsidR="00036A79">
              <w:rPr>
                <w:rFonts w:ascii="Verdana" w:eastAsia="Verdana" w:hAnsi="Verdana" w:cs="Verdana"/>
                <w:color w:val="19161B"/>
                <w:sz w:val="20"/>
                <w:szCs w:val="20"/>
                <w:lang w:val="nl-NL"/>
              </w:rPr>
              <w:tab/>
            </w:r>
            <w:r w:rsidR="00036A79">
              <w:rPr>
                <w:rFonts w:ascii="Verdana" w:eastAsia="Verdana" w:hAnsi="Verdana" w:cs="Verdana"/>
                <w:color w:val="19161B"/>
                <w:sz w:val="20"/>
                <w:szCs w:val="20"/>
                <w:lang w:val="nl-NL"/>
              </w:rPr>
              <w:tab/>
            </w:r>
            <w:r w:rsidRPr="313298E9">
              <w:rPr>
                <w:rFonts w:ascii="Verdana" w:eastAsia="Verdana" w:hAnsi="Verdana" w:cs="Verdana"/>
                <w:color w:val="19161B"/>
                <w:sz w:val="20"/>
                <w:szCs w:val="20"/>
                <w:lang w:val="nl-NL"/>
              </w:rPr>
              <w:t>1357</w:t>
            </w:r>
          </w:p>
          <w:p w14:paraId="563F997D" w14:textId="67EE8FA0" w:rsidR="00CB1297" w:rsidRPr="00A6480C" w:rsidRDefault="00CB1297" w:rsidP="00036A79">
            <w:pPr>
              <w:rPr>
                <w:rFonts w:ascii="Verdana" w:hAnsi="Verdana"/>
                <w:color w:val="000000" w:themeColor="text1"/>
                <w:sz w:val="20"/>
                <w:szCs w:val="20"/>
              </w:rPr>
            </w:pPr>
          </w:p>
        </w:tc>
      </w:tr>
      <w:tr w:rsidR="00CB1297" w14:paraId="6763C20E" w14:textId="77777777" w:rsidTr="313298E9">
        <w:tc>
          <w:tcPr>
            <w:tcW w:w="1770" w:type="dxa"/>
          </w:tcPr>
          <w:p w14:paraId="7A607619" w14:textId="22354964" w:rsidR="00CB1297" w:rsidRPr="00F240FC" w:rsidRDefault="00CB1297" w:rsidP="00CB1297">
            <w:pPr>
              <w:rPr>
                <w:rFonts w:ascii="Verdana" w:hAnsi="Verdana"/>
                <w:sz w:val="20"/>
                <w:szCs w:val="20"/>
              </w:rPr>
            </w:pPr>
            <w:proofErr w:type="spellStart"/>
            <w:r w:rsidRPr="00F240FC">
              <w:rPr>
                <w:rFonts w:ascii="Verdana" w:hAnsi="Verdana"/>
                <w:sz w:val="20"/>
                <w:szCs w:val="20"/>
              </w:rPr>
              <w:t>Kwantifi</w:t>
            </w:r>
            <w:r w:rsidR="00061F7F">
              <w:rPr>
                <w:rFonts w:ascii="Verdana" w:hAnsi="Verdana"/>
                <w:sz w:val="20"/>
                <w:szCs w:val="20"/>
              </w:rPr>
              <w:t>-</w:t>
            </w:r>
            <w:r w:rsidRPr="00F240FC">
              <w:rPr>
                <w:rFonts w:ascii="Verdana" w:hAnsi="Verdana"/>
                <w:sz w:val="20"/>
                <w:szCs w:val="20"/>
              </w:rPr>
              <w:t>ceer</w:t>
            </w:r>
            <w:proofErr w:type="spellEnd"/>
            <w:r w:rsidRPr="00F240FC">
              <w:rPr>
                <w:rFonts w:ascii="Verdana" w:hAnsi="Verdana"/>
                <w:sz w:val="20"/>
                <w:szCs w:val="20"/>
              </w:rPr>
              <w:t xml:space="preserve"> de verbetering ten opzichte van standaard</w:t>
            </w:r>
            <w:r>
              <w:rPr>
                <w:rFonts w:ascii="Verdana" w:hAnsi="Verdana"/>
                <w:sz w:val="20"/>
                <w:szCs w:val="20"/>
              </w:rPr>
              <w:t>-</w:t>
            </w:r>
            <w:r w:rsidRPr="00F240FC">
              <w:rPr>
                <w:rFonts w:ascii="Verdana" w:hAnsi="Verdana"/>
                <w:sz w:val="20"/>
                <w:szCs w:val="20"/>
              </w:rPr>
              <w:t>therapie t.a.v.</w:t>
            </w:r>
          </w:p>
          <w:p w14:paraId="619F9185" w14:textId="18000DE9" w:rsidR="00CB1297" w:rsidRPr="00F240FC" w:rsidRDefault="00061F7F" w:rsidP="00061F7F">
            <w:pPr>
              <w:rPr>
                <w:rFonts w:ascii="Verdana" w:hAnsi="Verdana"/>
                <w:sz w:val="20"/>
                <w:szCs w:val="20"/>
              </w:rPr>
            </w:pPr>
            <w:r>
              <w:rPr>
                <w:rFonts w:ascii="Verdana" w:hAnsi="Verdana"/>
                <w:sz w:val="20"/>
                <w:szCs w:val="20"/>
              </w:rPr>
              <w:t>-</w:t>
            </w:r>
            <w:proofErr w:type="spellStart"/>
            <w:r w:rsidRPr="00F240FC">
              <w:rPr>
                <w:rFonts w:ascii="Verdana" w:hAnsi="Verdana"/>
                <w:sz w:val="20"/>
                <w:szCs w:val="20"/>
              </w:rPr>
              <w:t>M</w:t>
            </w:r>
            <w:r w:rsidR="00CB1297" w:rsidRPr="00F240FC">
              <w:rPr>
                <w:rFonts w:ascii="Verdana" w:hAnsi="Verdana"/>
                <w:sz w:val="20"/>
                <w:szCs w:val="20"/>
              </w:rPr>
              <w:t>orbidi</w:t>
            </w:r>
            <w:r>
              <w:rPr>
                <w:rFonts w:ascii="Verdana" w:hAnsi="Verdana"/>
                <w:sz w:val="20"/>
                <w:szCs w:val="20"/>
              </w:rPr>
              <w:t>-</w:t>
            </w:r>
            <w:r w:rsidR="00CB1297" w:rsidRPr="00F240FC">
              <w:rPr>
                <w:rFonts w:ascii="Verdana" w:hAnsi="Verdana"/>
                <w:sz w:val="20"/>
                <w:szCs w:val="20"/>
              </w:rPr>
              <w:t>teit</w:t>
            </w:r>
            <w:proofErr w:type="spellEnd"/>
          </w:p>
          <w:p w14:paraId="419E7FA5" w14:textId="229A44BF" w:rsidR="00CB1297" w:rsidRPr="00F240FC" w:rsidRDefault="00061F7F" w:rsidP="00061F7F">
            <w:pPr>
              <w:rPr>
                <w:rFonts w:ascii="Verdana" w:hAnsi="Verdana"/>
                <w:sz w:val="20"/>
                <w:szCs w:val="20"/>
              </w:rPr>
            </w:pPr>
            <w:r>
              <w:rPr>
                <w:rFonts w:ascii="Verdana" w:hAnsi="Verdana"/>
                <w:sz w:val="20"/>
                <w:szCs w:val="20"/>
              </w:rPr>
              <w:t>-</w:t>
            </w:r>
            <w:proofErr w:type="spellStart"/>
            <w:r w:rsidR="00CB1297" w:rsidRPr="00F240FC">
              <w:rPr>
                <w:rFonts w:ascii="Verdana" w:hAnsi="Verdana"/>
                <w:sz w:val="20"/>
                <w:szCs w:val="20"/>
              </w:rPr>
              <w:t>mortali</w:t>
            </w:r>
            <w:r>
              <w:rPr>
                <w:rFonts w:ascii="Verdana" w:hAnsi="Verdana"/>
                <w:sz w:val="20"/>
                <w:szCs w:val="20"/>
              </w:rPr>
              <w:t>-</w:t>
            </w:r>
            <w:r w:rsidR="00CB1297" w:rsidRPr="00F240FC">
              <w:rPr>
                <w:rFonts w:ascii="Verdana" w:hAnsi="Verdana"/>
                <w:sz w:val="20"/>
                <w:szCs w:val="20"/>
              </w:rPr>
              <w:t>teit</w:t>
            </w:r>
            <w:proofErr w:type="spellEnd"/>
          </w:p>
          <w:p w14:paraId="7893BF18" w14:textId="66DE1BE3" w:rsidR="00CB1297" w:rsidRPr="00F240FC" w:rsidRDefault="00061F7F" w:rsidP="00061F7F">
            <w:pPr>
              <w:rPr>
                <w:rFonts w:ascii="Verdana" w:hAnsi="Verdana"/>
                <w:sz w:val="20"/>
                <w:szCs w:val="20"/>
              </w:rPr>
            </w:pPr>
            <w:r>
              <w:rPr>
                <w:rFonts w:ascii="Verdana" w:hAnsi="Verdana"/>
                <w:sz w:val="20"/>
                <w:szCs w:val="20"/>
              </w:rPr>
              <w:t>-</w:t>
            </w:r>
            <w:proofErr w:type="spellStart"/>
            <w:r w:rsidR="00CB1297">
              <w:rPr>
                <w:rFonts w:ascii="Verdana" w:hAnsi="Verdana"/>
                <w:sz w:val="20"/>
                <w:szCs w:val="20"/>
              </w:rPr>
              <w:t>veilig</w:t>
            </w:r>
            <w:r>
              <w:rPr>
                <w:rFonts w:ascii="Verdana" w:hAnsi="Verdana"/>
                <w:sz w:val="20"/>
                <w:szCs w:val="20"/>
              </w:rPr>
              <w:t>-</w:t>
            </w:r>
            <w:r w:rsidR="00CB1297">
              <w:rPr>
                <w:rFonts w:ascii="Verdana" w:hAnsi="Verdana"/>
                <w:sz w:val="20"/>
                <w:szCs w:val="20"/>
              </w:rPr>
              <w:t>heid</w:t>
            </w:r>
            <w:proofErr w:type="spellEnd"/>
          </w:p>
          <w:p w14:paraId="5716F9F9" w14:textId="77777777" w:rsidR="00CB1297" w:rsidRPr="00F240FC" w:rsidRDefault="00CB1297" w:rsidP="00CB1297">
            <w:pPr>
              <w:rPr>
                <w:rFonts w:ascii="Verdana" w:hAnsi="Verdana"/>
                <w:sz w:val="20"/>
                <w:szCs w:val="20"/>
              </w:rPr>
            </w:pPr>
          </w:p>
        </w:tc>
        <w:tc>
          <w:tcPr>
            <w:tcW w:w="7580" w:type="dxa"/>
          </w:tcPr>
          <w:p w14:paraId="0CCDB3E3" w14:textId="0D92C9EA" w:rsidR="00CB1297" w:rsidRPr="00A27B54" w:rsidRDefault="00CB1297" w:rsidP="058689AF">
            <w:pPr>
              <w:pStyle w:val="Default"/>
              <w:rPr>
                <w:rFonts w:ascii="Verdana" w:hAnsi="Verdana"/>
                <w:b/>
                <w:bCs/>
                <w:sz w:val="20"/>
                <w:szCs w:val="20"/>
                <w:lang w:val="nl-NL"/>
              </w:rPr>
            </w:pPr>
            <w:r w:rsidRPr="00A27B54">
              <w:rPr>
                <w:rFonts w:ascii="Verdana" w:hAnsi="Verdana"/>
                <w:b/>
                <w:bCs/>
                <w:sz w:val="20"/>
                <w:szCs w:val="20"/>
                <w:lang w:val="nl-NL"/>
              </w:rPr>
              <w:t>Klinische werkzaamheid</w:t>
            </w:r>
            <w:r w:rsidR="575F30B2" w:rsidRPr="00A27B54">
              <w:rPr>
                <w:rFonts w:ascii="Verdana" w:hAnsi="Verdana"/>
                <w:b/>
                <w:bCs/>
                <w:sz w:val="20"/>
                <w:szCs w:val="20"/>
                <w:lang w:val="nl-NL"/>
              </w:rPr>
              <w:t xml:space="preserve"> toediening (achtergrond info):</w:t>
            </w:r>
          </w:p>
          <w:p w14:paraId="4A7ACBD4" w14:textId="11D6FC78" w:rsidR="00CB1297" w:rsidRDefault="00CB1297" w:rsidP="00CB1297">
            <w:pPr>
              <w:pStyle w:val="Default"/>
              <w:rPr>
                <w:rFonts w:ascii="Verdana" w:hAnsi="Verdana"/>
                <w:sz w:val="20"/>
                <w:szCs w:val="20"/>
                <w:lang w:val="nl-NL"/>
              </w:rPr>
            </w:pPr>
          </w:p>
          <w:p w14:paraId="3B7D7850" w14:textId="77777777" w:rsidR="00923B40" w:rsidRPr="00923B40" w:rsidRDefault="00923B40" w:rsidP="00923B40">
            <w:pPr>
              <w:pStyle w:val="Default"/>
              <w:rPr>
                <w:rFonts w:ascii="Verdana" w:hAnsi="Verdana"/>
                <w:i/>
                <w:sz w:val="20"/>
                <w:szCs w:val="20"/>
                <w:lang w:val="nl-BE"/>
              </w:rPr>
            </w:pPr>
            <w:r w:rsidRPr="00923B40">
              <w:rPr>
                <w:rFonts w:ascii="Verdana" w:hAnsi="Verdana"/>
                <w:i/>
                <w:sz w:val="20"/>
                <w:szCs w:val="20"/>
                <w:lang w:val="nl-BE"/>
              </w:rPr>
              <w:t xml:space="preserve">Combinatiebehandeling met </w:t>
            </w:r>
            <w:proofErr w:type="spellStart"/>
            <w:r w:rsidRPr="00923B40">
              <w:rPr>
                <w:rFonts w:ascii="Verdana" w:hAnsi="Verdana"/>
                <w:i/>
                <w:sz w:val="20"/>
                <w:szCs w:val="20"/>
                <w:lang w:val="nl-BE"/>
              </w:rPr>
              <w:t>pomalidomide</w:t>
            </w:r>
            <w:proofErr w:type="spellEnd"/>
            <w:r w:rsidRPr="00923B40">
              <w:rPr>
                <w:rFonts w:ascii="Verdana" w:hAnsi="Verdana"/>
                <w:i/>
                <w:sz w:val="20"/>
                <w:szCs w:val="20"/>
                <w:lang w:val="nl-BE"/>
              </w:rPr>
              <w:t xml:space="preserve"> en dexamethason (Pd):</w:t>
            </w:r>
          </w:p>
          <w:p w14:paraId="58AEE89F" w14:textId="547240C5" w:rsidR="00370A45" w:rsidRDefault="00370A45" w:rsidP="00370A45">
            <w:pPr>
              <w:pStyle w:val="Default"/>
              <w:rPr>
                <w:rFonts w:ascii="Verdana" w:hAnsi="Verdana"/>
                <w:sz w:val="20"/>
                <w:szCs w:val="20"/>
                <w:lang w:val="nl-NL"/>
              </w:rPr>
            </w:pPr>
            <w:r w:rsidRPr="00370A45">
              <w:rPr>
                <w:rFonts w:ascii="Verdana" w:hAnsi="Verdana"/>
                <w:sz w:val="20"/>
                <w:szCs w:val="20"/>
                <w:lang w:val="nl-NL"/>
              </w:rPr>
              <w:t xml:space="preserve">Studie MMY3013 was een open-label, gerandomiseerde fase III-studie met actieve controle waarin </w:t>
            </w:r>
            <w:r>
              <w:rPr>
                <w:rFonts w:ascii="Verdana" w:hAnsi="Verdana"/>
                <w:sz w:val="20"/>
                <w:szCs w:val="20"/>
                <w:lang w:val="nl-NL"/>
              </w:rPr>
              <w:t>Darzalex SC</w:t>
            </w:r>
            <w:r w:rsidRPr="00370A45">
              <w:rPr>
                <w:rFonts w:ascii="Verdana" w:hAnsi="Verdana"/>
                <w:sz w:val="20"/>
                <w:szCs w:val="20"/>
                <w:lang w:val="nl-NL"/>
              </w:rPr>
              <w:t xml:space="preserve"> (1.800 mg) in combinatie met </w:t>
            </w:r>
            <w:proofErr w:type="spellStart"/>
            <w:r w:rsidRPr="00370A45">
              <w:rPr>
                <w:rFonts w:ascii="Verdana" w:hAnsi="Verdana"/>
                <w:sz w:val="20"/>
                <w:szCs w:val="20"/>
                <w:lang w:val="nl-NL"/>
              </w:rPr>
              <w:t>pomalidomide</w:t>
            </w:r>
            <w:proofErr w:type="spellEnd"/>
            <w:r w:rsidRPr="00370A45">
              <w:rPr>
                <w:rFonts w:ascii="Verdana" w:hAnsi="Verdana"/>
                <w:sz w:val="20"/>
                <w:szCs w:val="20"/>
                <w:lang w:val="nl-NL"/>
              </w:rPr>
              <w:t xml:space="preserve"> en een lage dosis dexamethason (</w:t>
            </w:r>
            <w:proofErr w:type="spellStart"/>
            <w:r w:rsidRPr="00370A45">
              <w:rPr>
                <w:rFonts w:ascii="Verdana" w:hAnsi="Verdana"/>
                <w:sz w:val="20"/>
                <w:szCs w:val="20"/>
                <w:lang w:val="nl-NL"/>
              </w:rPr>
              <w:t>D-Pd</w:t>
            </w:r>
            <w:proofErr w:type="spellEnd"/>
            <w:r w:rsidRPr="00370A45">
              <w:rPr>
                <w:rFonts w:ascii="Verdana" w:hAnsi="Verdana"/>
                <w:sz w:val="20"/>
                <w:szCs w:val="20"/>
                <w:lang w:val="nl-NL"/>
              </w:rPr>
              <w:t xml:space="preserve">) werd vergeleken met behandeling met </w:t>
            </w:r>
            <w:proofErr w:type="spellStart"/>
            <w:r w:rsidRPr="00370A45">
              <w:rPr>
                <w:rFonts w:ascii="Verdana" w:hAnsi="Verdana"/>
                <w:sz w:val="20"/>
                <w:szCs w:val="20"/>
                <w:lang w:val="nl-NL"/>
              </w:rPr>
              <w:t>pomalidomide</w:t>
            </w:r>
            <w:proofErr w:type="spellEnd"/>
            <w:r w:rsidRPr="00370A45">
              <w:rPr>
                <w:rFonts w:ascii="Verdana" w:hAnsi="Verdana"/>
                <w:sz w:val="20"/>
                <w:szCs w:val="20"/>
                <w:lang w:val="nl-NL"/>
              </w:rPr>
              <w:t xml:space="preserve"> en een lage dosis dexamethason (Pd) bij patiënten met multipel myeloom die minstens één eerdere behandellijn met </w:t>
            </w:r>
            <w:proofErr w:type="spellStart"/>
            <w:r w:rsidRPr="00370A45">
              <w:rPr>
                <w:rFonts w:ascii="Verdana" w:hAnsi="Verdana"/>
                <w:sz w:val="20"/>
                <w:szCs w:val="20"/>
                <w:lang w:val="nl-NL"/>
              </w:rPr>
              <w:t>lenalidomide</w:t>
            </w:r>
            <w:proofErr w:type="spellEnd"/>
            <w:r w:rsidRPr="00370A45">
              <w:rPr>
                <w:rFonts w:ascii="Verdana" w:hAnsi="Verdana"/>
                <w:sz w:val="20"/>
                <w:szCs w:val="20"/>
                <w:lang w:val="nl-NL"/>
              </w:rPr>
              <w:t xml:space="preserve"> en een </w:t>
            </w:r>
            <w:proofErr w:type="spellStart"/>
            <w:r w:rsidRPr="00370A45">
              <w:rPr>
                <w:rFonts w:ascii="Verdana" w:hAnsi="Verdana"/>
                <w:sz w:val="20"/>
                <w:szCs w:val="20"/>
                <w:lang w:val="nl-NL"/>
              </w:rPr>
              <w:t>proteasoomremmer</w:t>
            </w:r>
            <w:proofErr w:type="spellEnd"/>
            <w:r w:rsidRPr="00370A45">
              <w:rPr>
                <w:rFonts w:ascii="Verdana" w:hAnsi="Verdana"/>
                <w:sz w:val="20"/>
                <w:szCs w:val="20"/>
                <w:lang w:val="nl-NL"/>
              </w:rPr>
              <w:t xml:space="preserve"> (PI) hadden gehad. </w:t>
            </w:r>
            <w:proofErr w:type="spellStart"/>
            <w:r w:rsidRPr="00370A45">
              <w:rPr>
                <w:rFonts w:ascii="Verdana" w:hAnsi="Verdana"/>
                <w:sz w:val="20"/>
                <w:szCs w:val="20"/>
                <w:lang w:val="nl-NL"/>
              </w:rPr>
              <w:t>Pomalidomide</w:t>
            </w:r>
            <w:proofErr w:type="spellEnd"/>
            <w:r w:rsidRPr="00370A45">
              <w:rPr>
                <w:rFonts w:ascii="Verdana" w:hAnsi="Verdana"/>
                <w:sz w:val="20"/>
                <w:szCs w:val="20"/>
                <w:lang w:val="nl-NL"/>
              </w:rPr>
              <w:t xml:space="preserve"> (4 mg eenmaal daags oraal op dag 1-21 van herhaalde cycli van 28 dagen [4 weken]) werd gegeven met een lage dosis oraal of intraveneus dexamethason in een dosis van 40 mg/week (of een verlaagde dosis van 20 mg/week voor patiënten &gt; 75 jaar). Op de dagen dat </w:t>
            </w:r>
            <w:r>
              <w:rPr>
                <w:rFonts w:ascii="Verdana" w:hAnsi="Verdana"/>
                <w:sz w:val="20"/>
                <w:szCs w:val="20"/>
                <w:lang w:val="nl-NL"/>
              </w:rPr>
              <w:t>Darzalex SC</w:t>
            </w:r>
            <w:r w:rsidRPr="00370A45">
              <w:rPr>
                <w:rFonts w:ascii="Verdana" w:hAnsi="Verdana"/>
                <w:sz w:val="20"/>
                <w:szCs w:val="20"/>
                <w:lang w:val="nl-NL"/>
              </w:rPr>
              <w:t xml:space="preserve"> werd toegediend, werd 20 mg van de dosis dexamethason gegeven als </w:t>
            </w:r>
            <w:proofErr w:type="spellStart"/>
            <w:r w:rsidRPr="00370A45">
              <w:rPr>
                <w:rFonts w:ascii="Verdana" w:hAnsi="Verdana"/>
                <w:sz w:val="20"/>
                <w:szCs w:val="20"/>
                <w:lang w:val="nl-NL"/>
              </w:rPr>
              <w:t>pre-medicatie</w:t>
            </w:r>
            <w:proofErr w:type="spellEnd"/>
            <w:r w:rsidRPr="00370A45">
              <w:rPr>
                <w:rFonts w:ascii="Verdana" w:hAnsi="Verdana"/>
                <w:sz w:val="20"/>
                <w:szCs w:val="20"/>
                <w:lang w:val="nl-NL"/>
              </w:rPr>
              <w:t xml:space="preserve"> en de rest werd op de dag na toediening gegeven. Voor patiënten op een verlaagde dosis dexamethason werd de volledige dosis van 20 mg gegeven als </w:t>
            </w:r>
            <w:proofErr w:type="spellStart"/>
            <w:r w:rsidRPr="00370A45">
              <w:rPr>
                <w:rFonts w:ascii="Verdana" w:hAnsi="Verdana"/>
                <w:sz w:val="20"/>
                <w:szCs w:val="20"/>
                <w:lang w:val="nl-NL"/>
              </w:rPr>
              <w:t>pre-medicatie</w:t>
            </w:r>
            <w:proofErr w:type="spellEnd"/>
            <w:r w:rsidRPr="00370A45">
              <w:rPr>
                <w:rFonts w:ascii="Verdana" w:hAnsi="Verdana"/>
                <w:sz w:val="20"/>
                <w:szCs w:val="20"/>
                <w:lang w:val="nl-NL"/>
              </w:rPr>
              <w:t xml:space="preserve"> voor de </w:t>
            </w:r>
            <w:r>
              <w:rPr>
                <w:rFonts w:ascii="Verdana" w:hAnsi="Verdana"/>
                <w:sz w:val="20"/>
                <w:szCs w:val="20"/>
                <w:lang w:val="nl-NL"/>
              </w:rPr>
              <w:t>Darzalex SC</w:t>
            </w:r>
            <w:r w:rsidRPr="00370A45">
              <w:rPr>
                <w:rFonts w:ascii="Verdana" w:hAnsi="Verdana"/>
                <w:sz w:val="20"/>
                <w:szCs w:val="20"/>
                <w:lang w:val="nl-NL"/>
              </w:rPr>
              <w:t xml:space="preserve">. Dosisaanpassingen voor </w:t>
            </w:r>
            <w:proofErr w:type="spellStart"/>
            <w:r w:rsidRPr="00370A45">
              <w:rPr>
                <w:rFonts w:ascii="Verdana" w:hAnsi="Verdana"/>
                <w:sz w:val="20"/>
                <w:szCs w:val="20"/>
                <w:lang w:val="nl-NL"/>
              </w:rPr>
              <w:t>pomalidomide</w:t>
            </w:r>
            <w:proofErr w:type="spellEnd"/>
            <w:r w:rsidRPr="00370A45">
              <w:rPr>
                <w:rFonts w:ascii="Verdana" w:hAnsi="Verdana"/>
                <w:sz w:val="20"/>
                <w:szCs w:val="20"/>
                <w:lang w:val="nl-NL"/>
              </w:rPr>
              <w:t xml:space="preserve"> en dexamethason werden toegepast volgens de voorschrijfinformatie van de fabrikant. De behandeling werd in beide armen voortgezet tot ziekteprogressie of onaanvaardbare toxiciteit. </w:t>
            </w:r>
          </w:p>
          <w:p w14:paraId="3E2BA88C" w14:textId="77777777" w:rsidR="00370A45" w:rsidRPr="00370A45" w:rsidRDefault="00370A45" w:rsidP="00370A45">
            <w:pPr>
              <w:pStyle w:val="Default"/>
              <w:rPr>
                <w:rFonts w:ascii="Verdana" w:hAnsi="Verdana"/>
                <w:sz w:val="20"/>
                <w:szCs w:val="20"/>
                <w:lang w:val="nl-NL"/>
              </w:rPr>
            </w:pPr>
          </w:p>
          <w:p w14:paraId="491EEFFB" w14:textId="2BEDDAAD" w:rsidR="00370A45" w:rsidRDefault="00370A45" w:rsidP="00370A45">
            <w:pPr>
              <w:pStyle w:val="Default"/>
              <w:rPr>
                <w:rFonts w:ascii="Verdana" w:hAnsi="Verdana"/>
                <w:sz w:val="20"/>
                <w:szCs w:val="20"/>
                <w:lang w:val="nl-NL"/>
              </w:rPr>
            </w:pPr>
            <w:r w:rsidRPr="00370A45">
              <w:rPr>
                <w:rFonts w:ascii="Verdana" w:hAnsi="Verdana"/>
                <w:sz w:val="20"/>
                <w:szCs w:val="20"/>
                <w:lang w:val="nl-NL"/>
              </w:rPr>
              <w:t xml:space="preserve">In totaal werden er 304 patiënten gerandomiseerd: 151 naar de D-Pd-arm en 153 naar de Pd-arm. Patiënten met gedocumenteerd bewijs van ziekteprogressie tijdens of na de laatste behandeling werden in de studie opgenomen. Patiënten die tijdens eerdere behandeling </w:t>
            </w:r>
            <w:proofErr w:type="spellStart"/>
            <w:r w:rsidRPr="00370A45">
              <w:rPr>
                <w:rFonts w:ascii="Verdana" w:hAnsi="Verdana"/>
                <w:sz w:val="20"/>
                <w:szCs w:val="20"/>
                <w:lang w:val="nl-NL"/>
              </w:rPr>
              <w:t>rash</w:t>
            </w:r>
            <w:proofErr w:type="spellEnd"/>
            <w:r w:rsidRPr="00370A45">
              <w:rPr>
                <w:rFonts w:ascii="Verdana" w:hAnsi="Verdana"/>
                <w:sz w:val="20"/>
                <w:szCs w:val="20"/>
                <w:lang w:val="nl-NL"/>
              </w:rPr>
              <w:t xml:space="preserve"> hadden van graad 3 of hoger, werden uitgesloten, conform de Samenvatting van de Productkenmerken van </w:t>
            </w:r>
            <w:proofErr w:type="spellStart"/>
            <w:r w:rsidRPr="00370A45">
              <w:rPr>
                <w:rFonts w:ascii="Verdana" w:hAnsi="Verdana"/>
                <w:sz w:val="20"/>
                <w:szCs w:val="20"/>
                <w:lang w:val="nl-NL"/>
              </w:rPr>
              <w:t>pomalidomide</w:t>
            </w:r>
            <w:proofErr w:type="spellEnd"/>
            <w:r w:rsidRPr="00370A45">
              <w:rPr>
                <w:rFonts w:ascii="Verdana" w:hAnsi="Verdana"/>
                <w:sz w:val="20"/>
                <w:szCs w:val="20"/>
                <w:lang w:val="nl-NL"/>
              </w:rPr>
              <w:t xml:space="preserve">. De demografische kenmerken en ziektekenmerken op </w:t>
            </w:r>
            <w:r w:rsidRPr="00370A45">
              <w:rPr>
                <w:rFonts w:ascii="Verdana" w:hAnsi="Verdana"/>
                <w:i/>
                <w:iCs/>
                <w:sz w:val="20"/>
                <w:szCs w:val="20"/>
                <w:lang w:val="nl-NL"/>
              </w:rPr>
              <w:t xml:space="preserve">baseline </w:t>
            </w:r>
            <w:r w:rsidRPr="00370A45">
              <w:rPr>
                <w:rFonts w:ascii="Verdana" w:hAnsi="Verdana"/>
                <w:sz w:val="20"/>
                <w:szCs w:val="20"/>
                <w:lang w:val="nl-NL"/>
              </w:rPr>
              <w:t xml:space="preserve">waren voor de twee behandelgroepen gelijk. De mediane leeftijd van de patiënten was 67 jaar (spreiding 35 tot 90 jaar), 18% was ≥ 75 jaar, 53% was man en 89% was Kaukasisch. Het mediane aantal eerdere behandellijnen bij patiënten was 2. Alle patiënten hadden een eerdere behandeling gehad met een </w:t>
            </w:r>
            <w:proofErr w:type="spellStart"/>
            <w:r w:rsidRPr="00370A45">
              <w:rPr>
                <w:rFonts w:ascii="Verdana" w:hAnsi="Verdana"/>
                <w:sz w:val="20"/>
                <w:szCs w:val="20"/>
                <w:lang w:val="nl-NL"/>
              </w:rPr>
              <w:t>proteasoomremmer</w:t>
            </w:r>
            <w:proofErr w:type="spellEnd"/>
            <w:r w:rsidRPr="00370A45">
              <w:rPr>
                <w:rFonts w:ascii="Verdana" w:hAnsi="Verdana"/>
                <w:sz w:val="20"/>
                <w:szCs w:val="20"/>
                <w:lang w:val="nl-NL"/>
              </w:rPr>
              <w:t xml:space="preserve"> (PI) en </w:t>
            </w:r>
            <w:proofErr w:type="spellStart"/>
            <w:r w:rsidRPr="00370A45">
              <w:rPr>
                <w:rFonts w:ascii="Verdana" w:hAnsi="Verdana"/>
                <w:sz w:val="20"/>
                <w:szCs w:val="20"/>
                <w:lang w:val="nl-NL"/>
              </w:rPr>
              <w:t>lenalidomide</w:t>
            </w:r>
            <w:proofErr w:type="spellEnd"/>
            <w:r w:rsidRPr="00370A45">
              <w:rPr>
                <w:rFonts w:ascii="Verdana" w:hAnsi="Verdana"/>
                <w:sz w:val="20"/>
                <w:szCs w:val="20"/>
                <w:lang w:val="nl-NL"/>
              </w:rPr>
              <w:t xml:space="preserve">, en 56% van de patiënten had eerder een stamceltransplantatie ondergaan (ASCT). Zesennegentig procent (96%) van de patiënten kreeg een eerdere behandeling met </w:t>
            </w:r>
            <w:proofErr w:type="spellStart"/>
            <w:r w:rsidRPr="00370A45">
              <w:rPr>
                <w:rFonts w:ascii="Verdana" w:hAnsi="Verdana"/>
                <w:sz w:val="20"/>
                <w:szCs w:val="20"/>
                <w:lang w:val="nl-NL"/>
              </w:rPr>
              <w:t>bortezomib</w:t>
            </w:r>
            <w:proofErr w:type="spellEnd"/>
            <w:r w:rsidRPr="00370A45">
              <w:rPr>
                <w:rFonts w:ascii="Verdana" w:hAnsi="Verdana"/>
                <w:sz w:val="20"/>
                <w:szCs w:val="20"/>
                <w:lang w:val="nl-NL"/>
              </w:rPr>
              <w:t xml:space="preserve">. De meerderheid van de patiënten was refractair voor </w:t>
            </w:r>
            <w:proofErr w:type="spellStart"/>
            <w:r w:rsidRPr="00370A45">
              <w:rPr>
                <w:rFonts w:ascii="Verdana" w:hAnsi="Verdana"/>
                <w:sz w:val="20"/>
                <w:szCs w:val="20"/>
                <w:lang w:val="nl-NL"/>
              </w:rPr>
              <w:t>lenalidomide</w:t>
            </w:r>
            <w:proofErr w:type="spellEnd"/>
            <w:r w:rsidRPr="00370A45">
              <w:rPr>
                <w:rFonts w:ascii="Verdana" w:hAnsi="Verdana"/>
                <w:sz w:val="20"/>
                <w:szCs w:val="20"/>
                <w:lang w:val="nl-NL"/>
              </w:rPr>
              <w:t xml:space="preserve"> (80%), een PI (48%), of voor zowel een </w:t>
            </w:r>
            <w:proofErr w:type="spellStart"/>
            <w:r w:rsidRPr="00370A45">
              <w:rPr>
                <w:rFonts w:ascii="Verdana" w:hAnsi="Verdana"/>
                <w:sz w:val="20"/>
                <w:szCs w:val="20"/>
                <w:lang w:val="nl-NL"/>
              </w:rPr>
              <w:t>immunomodulator</w:t>
            </w:r>
            <w:proofErr w:type="spellEnd"/>
            <w:r w:rsidRPr="00370A45">
              <w:rPr>
                <w:rFonts w:ascii="Verdana" w:hAnsi="Verdana"/>
                <w:sz w:val="20"/>
                <w:szCs w:val="20"/>
                <w:lang w:val="nl-NL"/>
              </w:rPr>
              <w:t xml:space="preserve"> als een PI (42%). Elf procent van de patiënten had 1 eerdere behandellijn gehad; al deze patiënten waren refractair voor </w:t>
            </w:r>
            <w:proofErr w:type="spellStart"/>
            <w:r w:rsidRPr="00370A45">
              <w:rPr>
                <w:rFonts w:ascii="Verdana" w:hAnsi="Verdana"/>
                <w:sz w:val="20"/>
                <w:szCs w:val="20"/>
                <w:lang w:val="nl-NL"/>
              </w:rPr>
              <w:t>lenalidomide</w:t>
            </w:r>
            <w:proofErr w:type="spellEnd"/>
            <w:r w:rsidRPr="00370A45">
              <w:rPr>
                <w:rFonts w:ascii="Verdana" w:hAnsi="Verdana"/>
                <w:sz w:val="20"/>
                <w:szCs w:val="20"/>
                <w:lang w:val="nl-NL"/>
              </w:rPr>
              <w:t xml:space="preserve"> en 32,4% was refractair voor zowel </w:t>
            </w:r>
            <w:proofErr w:type="spellStart"/>
            <w:r w:rsidRPr="00370A45">
              <w:rPr>
                <w:rFonts w:ascii="Verdana" w:hAnsi="Verdana"/>
                <w:sz w:val="20"/>
                <w:szCs w:val="20"/>
                <w:lang w:val="nl-NL"/>
              </w:rPr>
              <w:t>lenalidomide</w:t>
            </w:r>
            <w:proofErr w:type="spellEnd"/>
            <w:r w:rsidRPr="00370A45">
              <w:rPr>
                <w:rFonts w:ascii="Verdana" w:hAnsi="Verdana"/>
                <w:sz w:val="20"/>
                <w:szCs w:val="20"/>
                <w:lang w:val="nl-NL"/>
              </w:rPr>
              <w:t xml:space="preserve"> als voor een PI. De werkzaamheid werd beoordeeld aan de hand van de progressievrije </w:t>
            </w:r>
            <w:r w:rsidRPr="00370A45">
              <w:rPr>
                <w:rFonts w:ascii="Verdana" w:hAnsi="Verdana"/>
                <w:sz w:val="20"/>
                <w:szCs w:val="20"/>
                <w:lang w:val="nl-NL"/>
              </w:rPr>
              <w:lastRenderedPageBreak/>
              <w:t>overleving (</w:t>
            </w:r>
            <w:proofErr w:type="spellStart"/>
            <w:r w:rsidRPr="00370A45">
              <w:rPr>
                <w:rFonts w:ascii="Verdana" w:hAnsi="Verdana"/>
                <w:i/>
                <w:iCs/>
                <w:sz w:val="20"/>
                <w:szCs w:val="20"/>
                <w:lang w:val="nl-NL"/>
              </w:rPr>
              <w:t>progression</w:t>
            </w:r>
            <w:proofErr w:type="spellEnd"/>
            <w:r w:rsidRPr="00370A45">
              <w:rPr>
                <w:rFonts w:ascii="Verdana" w:hAnsi="Verdana"/>
                <w:i/>
                <w:iCs/>
                <w:sz w:val="20"/>
                <w:szCs w:val="20"/>
                <w:lang w:val="nl-NL"/>
              </w:rPr>
              <w:t xml:space="preserve"> free survival</w:t>
            </w:r>
            <w:r w:rsidRPr="00370A45">
              <w:rPr>
                <w:rFonts w:ascii="Verdana" w:hAnsi="Verdana"/>
                <w:sz w:val="20"/>
                <w:szCs w:val="20"/>
                <w:lang w:val="nl-NL"/>
              </w:rPr>
              <w:t xml:space="preserve">, PFS) op basis van de criteria van de </w:t>
            </w:r>
            <w:r w:rsidRPr="00370A45">
              <w:rPr>
                <w:rFonts w:ascii="Verdana" w:hAnsi="Verdana"/>
                <w:i/>
                <w:iCs/>
                <w:sz w:val="20"/>
                <w:szCs w:val="20"/>
                <w:lang w:val="nl-NL"/>
              </w:rPr>
              <w:t xml:space="preserve">International </w:t>
            </w:r>
            <w:proofErr w:type="spellStart"/>
            <w:r w:rsidRPr="00370A45">
              <w:rPr>
                <w:rFonts w:ascii="Verdana" w:hAnsi="Verdana"/>
                <w:i/>
                <w:iCs/>
                <w:sz w:val="20"/>
                <w:szCs w:val="20"/>
                <w:lang w:val="nl-NL"/>
              </w:rPr>
              <w:t>Myeloma</w:t>
            </w:r>
            <w:proofErr w:type="spellEnd"/>
            <w:r w:rsidRPr="00370A45">
              <w:rPr>
                <w:rFonts w:ascii="Verdana" w:hAnsi="Verdana"/>
                <w:i/>
                <w:iCs/>
                <w:sz w:val="20"/>
                <w:szCs w:val="20"/>
                <w:lang w:val="nl-NL"/>
              </w:rPr>
              <w:t xml:space="preserve"> </w:t>
            </w:r>
            <w:proofErr w:type="spellStart"/>
            <w:r w:rsidRPr="00370A45">
              <w:rPr>
                <w:rFonts w:ascii="Verdana" w:hAnsi="Verdana"/>
                <w:i/>
                <w:iCs/>
                <w:sz w:val="20"/>
                <w:szCs w:val="20"/>
                <w:lang w:val="nl-NL"/>
              </w:rPr>
              <w:t>Working</w:t>
            </w:r>
            <w:proofErr w:type="spellEnd"/>
            <w:r w:rsidRPr="00370A45">
              <w:rPr>
                <w:rFonts w:ascii="Verdana" w:hAnsi="Verdana"/>
                <w:i/>
                <w:iCs/>
                <w:sz w:val="20"/>
                <w:szCs w:val="20"/>
                <w:lang w:val="nl-NL"/>
              </w:rPr>
              <w:t xml:space="preserve"> Group </w:t>
            </w:r>
            <w:r w:rsidRPr="00370A45">
              <w:rPr>
                <w:rFonts w:ascii="Verdana" w:hAnsi="Verdana"/>
                <w:sz w:val="20"/>
                <w:szCs w:val="20"/>
                <w:lang w:val="nl-NL"/>
              </w:rPr>
              <w:t xml:space="preserve">(IMWG). </w:t>
            </w:r>
          </w:p>
          <w:p w14:paraId="5EEAF430" w14:textId="77777777" w:rsidR="00370A45" w:rsidRPr="00370A45" w:rsidRDefault="00370A45" w:rsidP="00370A45">
            <w:pPr>
              <w:pStyle w:val="Default"/>
              <w:rPr>
                <w:rFonts w:ascii="Verdana" w:hAnsi="Verdana"/>
                <w:sz w:val="20"/>
                <w:szCs w:val="20"/>
                <w:lang w:val="nl-NL"/>
              </w:rPr>
            </w:pPr>
          </w:p>
          <w:p w14:paraId="1B0EAD69" w14:textId="42E95051" w:rsidR="00923B40" w:rsidRPr="00370A45" w:rsidRDefault="00370A45" w:rsidP="00370A45">
            <w:pPr>
              <w:pStyle w:val="Default"/>
              <w:rPr>
                <w:rFonts w:ascii="Verdana" w:hAnsi="Verdana"/>
                <w:sz w:val="20"/>
                <w:szCs w:val="20"/>
                <w:lang w:val="nl-NL"/>
              </w:rPr>
            </w:pPr>
            <w:r w:rsidRPr="00370A45">
              <w:rPr>
                <w:rFonts w:ascii="Verdana" w:hAnsi="Verdana"/>
                <w:sz w:val="20"/>
                <w:szCs w:val="20"/>
                <w:lang w:val="nl-NL"/>
              </w:rPr>
              <w:t xml:space="preserve">Met een mediane follow-up van 16,9 maanden liet de primaire analyse van de PFS in studie MMY3013 een statistisch significante verbetering in de D-Pd-arm ten opzichte van de Pd-arm zien; de mediane PFS was 12,4 maanden in de D-Pd-arm en 6,9 maanden in de Pd-arm (HR [95%-BI]: 0,63 [0,47; 0,85]; p-waarde = 0,0018). Dit betekent voor patiënten die zijn behandeld met </w:t>
            </w:r>
            <w:proofErr w:type="spellStart"/>
            <w:r w:rsidRPr="00370A45">
              <w:rPr>
                <w:rFonts w:ascii="Verdana" w:hAnsi="Verdana"/>
                <w:sz w:val="20"/>
                <w:szCs w:val="20"/>
                <w:lang w:val="nl-NL"/>
              </w:rPr>
              <w:t>D-Pd</w:t>
            </w:r>
            <w:proofErr w:type="spellEnd"/>
            <w:r w:rsidRPr="00370A45">
              <w:rPr>
                <w:rFonts w:ascii="Verdana" w:hAnsi="Verdana"/>
                <w:sz w:val="20"/>
                <w:szCs w:val="20"/>
                <w:lang w:val="nl-NL"/>
              </w:rPr>
              <w:t xml:space="preserve"> een afname van 37% in het risico op ziekteprogressie of overlijden ten opzichte van Pd.</w:t>
            </w:r>
          </w:p>
          <w:p w14:paraId="1D1F5237" w14:textId="77777777" w:rsidR="00923B40" w:rsidRPr="00923B40" w:rsidRDefault="00923B40" w:rsidP="00923B40">
            <w:pPr>
              <w:pStyle w:val="Default"/>
              <w:rPr>
                <w:rFonts w:ascii="Verdana" w:hAnsi="Verdana"/>
                <w:sz w:val="20"/>
                <w:szCs w:val="20"/>
                <w:lang w:val="nl-BE"/>
              </w:rPr>
            </w:pPr>
          </w:p>
          <w:p w14:paraId="55A1BCE1" w14:textId="77777777" w:rsidR="00923B40" w:rsidRPr="00923B40" w:rsidRDefault="00923B40" w:rsidP="00923B40">
            <w:pPr>
              <w:pStyle w:val="Default"/>
              <w:rPr>
                <w:rFonts w:ascii="Verdana" w:hAnsi="Verdana"/>
                <w:b/>
                <w:bCs/>
                <w:sz w:val="20"/>
                <w:szCs w:val="20"/>
                <w:lang w:val="nl-BE"/>
              </w:rPr>
            </w:pPr>
            <w:r w:rsidRPr="00923B40">
              <w:rPr>
                <w:rFonts w:ascii="Verdana" w:hAnsi="Verdana"/>
                <w:b/>
                <w:bCs/>
                <w:sz w:val="20"/>
                <w:szCs w:val="20"/>
                <w:lang w:val="nl-BE"/>
              </w:rPr>
              <w:t>Figuur 1</w:t>
            </w:r>
            <w:r w:rsidRPr="00923B40">
              <w:rPr>
                <w:rFonts w:ascii="Verdana" w:hAnsi="Verdana"/>
                <w:b/>
                <w:bCs/>
                <w:sz w:val="20"/>
                <w:szCs w:val="20"/>
                <w:lang w:val="nl-BE"/>
              </w:rPr>
              <w:tab/>
            </w:r>
            <w:r w:rsidRPr="00923B40">
              <w:rPr>
                <w:rFonts w:ascii="Verdana" w:hAnsi="Verdana"/>
                <w:b/>
                <w:sz w:val="20"/>
                <w:szCs w:val="20"/>
                <w:lang w:val="nl-BE"/>
              </w:rPr>
              <w:t>Kaplan</w:t>
            </w:r>
            <w:r w:rsidRPr="00923B40">
              <w:rPr>
                <w:rFonts w:ascii="Verdana" w:hAnsi="Verdana"/>
                <w:b/>
                <w:sz w:val="20"/>
                <w:szCs w:val="20"/>
                <w:lang w:val="nl-BE"/>
              </w:rPr>
              <w:noBreakHyphen/>
              <w:t>Meier</w:t>
            </w:r>
            <w:r w:rsidRPr="00923B40">
              <w:rPr>
                <w:rFonts w:ascii="Verdana" w:hAnsi="Verdana"/>
                <w:b/>
                <w:sz w:val="20"/>
                <w:szCs w:val="20"/>
                <w:lang w:val="nl-BE"/>
              </w:rPr>
              <w:noBreakHyphen/>
              <w:t xml:space="preserve">curve van de </w:t>
            </w:r>
            <w:r w:rsidRPr="00923B40">
              <w:rPr>
                <w:rFonts w:ascii="Verdana" w:hAnsi="Verdana"/>
                <w:b/>
                <w:bCs/>
                <w:iCs/>
                <w:sz w:val="20"/>
                <w:szCs w:val="20"/>
                <w:lang w:val="nl-BE"/>
              </w:rPr>
              <w:t xml:space="preserve">PFS in studie </w:t>
            </w:r>
            <w:r w:rsidRPr="00923B40">
              <w:rPr>
                <w:rFonts w:ascii="Verdana" w:hAnsi="Verdana"/>
                <w:b/>
                <w:bCs/>
                <w:sz w:val="20"/>
                <w:szCs w:val="20"/>
                <w:lang w:val="nl-BE"/>
              </w:rPr>
              <w:t>MMY3013</w:t>
            </w:r>
          </w:p>
          <w:p w14:paraId="38D7E6B8" w14:textId="77777777" w:rsidR="00923B40" w:rsidRPr="00923B40" w:rsidRDefault="00923B40" w:rsidP="00923B40">
            <w:pPr>
              <w:pStyle w:val="Default"/>
              <w:rPr>
                <w:rFonts w:ascii="Verdana" w:hAnsi="Verdana"/>
                <w:sz w:val="20"/>
                <w:szCs w:val="20"/>
                <w:lang w:val="nl-BE"/>
              </w:rPr>
            </w:pPr>
          </w:p>
          <w:p w14:paraId="4DBAF8A9" w14:textId="1700FB14" w:rsidR="00923B40" w:rsidRPr="00923B40" w:rsidRDefault="00923B40" w:rsidP="00923B40">
            <w:pPr>
              <w:pStyle w:val="Default"/>
              <w:rPr>
                <w:rFonts w:ascii="Verdana" w:hAnsi="Verdana"/>
                <w:sz w:val="20"/>
                <w:szCs w:val="20"/>
                <w:lang w:val="nl-BE"/>
              </w:rPr>
            </w:pPr>
            <w:r w:rsidRPr="00923B40">
              <w:rPr>
                <w:rFonts w:ascii="Verdana" w:hAnsi="Verdana"/>
                <w:noProof/>
                <w:sz w:val="20"/>
                <w:szCs w:val="20"/>
                <w:lang w:val="nl-BE"/>
              </w:rPr>
              <w:drawing>
                <wp:inline distT="0" distB="0" distL="0" distR="0" wp14:anchorId="2EB6F262" wp14:editId="4D099BCB">
                  <wp:extent cx="2835464" cy="2557953"/>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9725" cy="2570818"/>
                          </a:xfrm>
                          <a:prstGeom prst="rect">
                            <a:avLst/>
                          </a:prstGeom>
                          <a:noFill/>
                          <a:ln>
                            <a:noFill/>
                          </a:ln>
                        </pic:spPr>
                      </pic:pic>
                    </a:graphicData>
                  </a:graphic>
                </wp:inline>
              </w:drawing>
            </w:r>
          </w:p>
          <w:p w14:paraId="18E240BE" w14:textId="77777777" w:rsidR="00923B40" w:rsidRPr="00923B40" w:rsidRDefault="00923B40" w:rsidP="00923B40">
            <w:pPr>
              <w:pStyle w:val="Default"/>
              <w:rPr>
                <w:rFonts w:ascii="Verdana" w:hAnsi="Verdana"/>
                <w:sz w:val="20"/>
                <w:szCs w:val="20"/>
                <w:lang w:val="nl-BE"/>
              </w:rPr>
            </w:pPr>
          </w:p>
          <w:p w14:paraId="78BAED9E" w14:textId="1F37FC80" w:rsidR="00370A45" w:rsidRPr="00370A45" w:rsidRDefault="00370A45" w:rsidP="00923B40">
            <w:pPr>
              <w:pStyle w:val="Default"/>
              <w:rPr>
                <w:rFonts w:ascii="Verdana" w:hAnsi="Verdana"/>
                <w:sz w:val="20"/>
                <w:szCs w:val="20"/>
                <w:lang w:val="nl-NL"/>
              </w:rPr>
            </w:pPr>
            <w:r w:rsidRPr="00370A45">
              <w:rPr>
                <w:rFonts w:ascii="Verdana" w:hAnsi="Verdana"/>
                <w:sz w:val="20"/>
                <w:szCs w:val="20"/>
                <w:lang w:val="nl-NL"/>
              </w:rPr>
              <w:t xml:space="preserve">Er werd een aanvullende, geplande </w:t>
            </w:r>
            <w:r w:rsidRPr="00370A45">
              <w:rPr>
                <w:rFonts w:ascii="Verdana" w:hAnsi="Verdana"/>
                <w:i/>
                <w:iCs/>
                <w:sz w:val="20"/>
                <w:szCs w:val="20"/>
                <w:lang w:val="nl-NL"/>
              </w:rPr>
              <w:t>follow-up</w:t>
            </w:r>
            <w:r w:rsidRPr="00370A45">
              <w:rPr>
                <w:rFonts w:ascii="Verdana" w:hAnsi="Verdana"/>
                <w:sz w:val="20"/>
                <w:szCs w:val="20"/>
                <w:lang w:val="nl-NL"/>
              </w:rPr>
              <w:t xml:space="preserve">-analyse van OS na een mediane </w:t>
            </w:r>
            <w:r w:rsidRPr="00370A45">
              <w:rPr>
                <w:rFonts w:ascii="Verdana" w:hAnsi="Verdana"/>
                <w:i/>
                <w:iCs/>
                <w:sz w:val="20"/>
                <w:szCs w:val="20"/>
                <w:lang w:val="nl-NL"/>
              </w:rPr>
              <w:t xml:space="preserve">follow-up </w:t>
            </w:r>
            <w:r w:rsidRPr="00370A45">
              <w:rPr>
                <w:rFonts w:ascii="Verdana" w:hAnsi="Verdana"/>
                <w:sz w:val="20"/>
                <w:szCs w:val="20"/>
                <w:lang w:val="nl-NL"/>
              </w:rPr>
              <w:t>van 39,6 maanden uitgevoerd. Bij een OS van 57%, was de mediane OS 34,4 maanden in de D-Pd-arm en 23,7 maanden in de Pd-arm (HR [95%-BI]: 0,82 [0,61; 1,11]).</w:t>
            </w:r>
          </w:p>
          <w:p w14:paraId="41DE7F6F" w14:textId="77777777" w:rsidR="00370A45" w:rsidRPr="00370A45" w:rsidRDefault="00370A45" w:rsidP="00923B40">
            <w:pPr>
              <w:pStyle w:val="Default"/>
              <w:rPr>
                <w:rFonts w:ascii="Verdana" w:hAnsi="Verdana"/>
                <w:sz w:val="20"/>
                <w:szCs w:val="20"/>
                <w:lang w:val="nl-NL"/>
              </w:rPr>
            </w:pPr>
          </w:p>
          <w:p w14:paraId="3ADA683B" w14:textId="718B2CA7" w:rsidR="00923B40" w:rsidRPr="00923B40" w:rsidRDefault="00923B40" w:rsidP="00923B40">
            <w:pPr>
              <w:pStyle w:val="Default"/>
              <w:rPr>
                <w:rFonts w:ascii="Verdana" w:hAnsi="Verdana"/>
                <w:sz w:val="20"/>
                <w:szCs w:val="20"/>
                <w:lang w:val="nl-BE"/>
              </w:rPr>
            </w:pPr>
            <w:r w:rsidRPr="00370A45">
              <w:rPr>
                <w:rFonts w:ascii="Verdana" w:hAnsi="Verdana"/>
                <w:sz w:val="20"/>
                <w:szCs w:val="20"/>
                <w:lang w:val="nl-BE"/>
              </w:rPr>
              <w:t>Aanvullende resultaten voor de werkzaamheid uit studie MMY3013 zijn weergegeven</w:t>
            </w:r>
            <w:r w:rsidRPr="00923B40">
              <w:rPr>
                <w:rFonts w:ascii="Verdana" w:hAnsi="Verdana"/>
                <w:sz w:val="20"/>
                <w:szCs w:val="20"/>
                <w:lang w:val="nl-BE"/>
              </w:rPr>
              <w:t xml:space="preserve"> in tabel </w:t>
            </w:r>
            <w:r w:rsidR="00370A45">
              <w:rPr>
                <w:rFonts w:ascii="Verdana" w:hAnsi="Verdana"/>
                <w:sz w:val="20"/>
                <w:szCs w:val="20"/>
                <w:lang w:val="nl-BE"/>
              </w:rPr>
              <w:t>1</w:t>
            </w:r>
            <w:r w:rsidRPr="00923B40">
              <w:rPr>
                <w:rFonts w:ascii="Verdana" w:hAnsi="Verdana"/>
                <w:sz w:val="20"/>
                <w:szCs w:val="20"/>
                <w:lang w:val="nl-BE"/>
              </w:rPr>
              <w:t xml:space="preserve"> hieronder.</w:t>
            </w:r>
          </w:p>
          <w:p w14:paraId="67DD638B" w14:textId="77777777" w:rsidR="00923B40" w:rsidRPr="00923B40" w:rsidRDefault="00923B40" w:rsidP="00923B40">
            <w:pPr>
              <w:pStyle w:val="Default"/>
              <w:rPr>
                <w:rFonts w:ascii="Verdana" w:hAnsi="Verdana"/>
                <w:sz w:val="20"/>
                <w:szCs w:val="20"/>
                <w:lang w:val="nl-BE"/>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8"/>
              <w:gridCol w:w="1784"/>
              <w:gridCol w:w="1708"/>
            </w:tblGrid>
            <w:tr w:rsidR="00923B40" w:rsidRPr="00923B40" w14:paraId="52B77E8B" w14:textId="77777777" w:rsidTr="0028539F">
              <w:trPr>
                <w:cantSplit/>
                <w:jc w:val="center"/>
              </w:trPr>
              <w:tc>
                <w:tcPr>
                  <w:tcW w:w="5000" w:type="pct"/>
                  <w:gridSpan w:val="3"/>
                  <w:tcBorders>
                    <w:top w:val="nil"/>
                    <w:left w:val="nil"/>
                    <w:bottom w:val="single" w:sz="4" w:space="0" w:color="auto"/>
                    <w:right w:val="nil"/>
                  </w:tcBorders>
                  <w:shd w:val="clear" w:color="auto" w:fill="auto"/>
                </w:tcPr>
                <w:p w14:paraId="3340A99B" w14:textId="6051689D" w:rsidR="00923B40" w:rsidRPr="0028539F" w:rsidRDefault="00923B40" w:rsidP="00923B40">
                  <w:pPr>
                    <w:pStyle w:val="Default"/>
                    <w:rPr>
                      <w:rFonts w:ascii="Verdana" w:hAnsi="Verdana"/>
                      <w:b/>
                      <w:bCs/>
                      <w:iCs/>
                      <w:sz w:val="16"/>
                      <w:szCs w:val="16"/>
                      <w:lang w:val="nl-BE"/>
                    </w:rPr>
                  </w:pPr>
                  <w:r w:rsidRPr="0028539F">
                    <w:rPr>
                      <w:rFonts w:ascii="Verdana" w:hAnsi="Verdana"/>
                      <w:b/>
                      <w:bCs/>
                      <w:sz w:val="16"/>
                      <w:szCs w:val="16"/>
                      <w:lang w:val="nl-BE"/>
                    </w:rPr>
                    <w:t>Tabel </w:t>
                  </w:r>
                  <w:r w:rsidR="00370A45">
                    <w:rPr>
                      <w:rFonts w:ascii="Verdana" w:hAnsi="Verdana"/>
                      <w:b/>
                      <w:bCs/>
                      <w:sz w:val="16"/>
                      <w:szCs w:val="16"/>
                      <w:lang w:val="nl-BE"/>
                    </w:rPr>
                    <w:t>1</w:t>
                  </w:r>
                  <w:r w:rsidRPr="0028539F">
                    <w:rPr>
                      <w:rFonts w:ascii="Verdana" w:hAnsi="Verdana"/>
                      <w:b/>
                      <w:bCs/>
                      <w:sz w:val="16"/>
                      <w:szCs w:val="16"/>
                      <w:lang w:val="nl-BE"/>
                    </w:rPr>
                    <w:t>:</w:t>
                  </w:r>
                  <w:r w:rsidRPr="0028539F">
                    <w:rPr>
                      <w:rFonts w:ascii="Verdana" w:hAnsi="Verdana"/>
                      <w:b/>
                      <w:bCs/>
                      <w:sz w:val="16"/>
                      <w:szCs w:val="16"/>
                      <w:lang w:val="nl-BE"/>
                    </w:rPr>
                    <w:tab/>
                    <w:t>Resultaten voor de werkzaamheid</w:t>
                  </w:r>
                  <w:r w:rsidRPr="0028539F">
                    <w:rPr>
                      <w:rFonts w:ascii="Verdana" w:hAnsi="Verdana"/>
                      <w:b/>
                      <w:bCs/>
                      <w:iCs/>
                      <w:sz w:val="16"/>
                      <w:szCs w:val="16"/>
                      <w:lang w:val="nl-BE"/>
                    </w:rPr>
                    <w:t xml:space="preserve"> uit studie MMY3013</w:t>
                  </w:r>
                  <w:r w:rsidRPr="0028539F">
                    <w:rPr>
                      <w:rFonts w:ascii="Verdana" w:hAnsi="Verdana"/>
                      <w:b/>
                      <w:bCs/>
                      <w:iCs/>
                      <w:sz w:val="16"/>
                      <w:szCs w:val="16"/>
                      <w:vertAlign w:val="superscript"/>
                      <w:lang w:val="nl-BE"/>
                    </w:rPr>
                    <w:t>a</w:t>
                  </w:r>
                </w:p>
              </w:tc>
            </w:tr>
            <w:tr w:rsidR="00923B40" w:rsidRPr="00923B40" w14:paraId="1ED9134B" w14:textId="77777777" w:rsidTr="0028539F">
              <w:trPr>
                <w:cantSplit/>
                <w:jc w:val="center"/>
              </w:trPr>
              <w:tc>
                <w:tcPr>
                  <w:tcW w:w="2653" w:type="pct"/>
                  <w:tcBorders>
                    <w:bottom w:val="single" w:sz="4" w:space="0" w:color="auto"/>
                  </w:tcBorders>
                  <w:shd w:val="clear" w:color="auto" w:fill="auto"/>
                </w:tcPr>
                <w:p w14:paraId="647E6F2A" w14:textId="77777777" w:rsidR="00923B40" w:rsidRPr="0028539F" w:rsidRDefault="00923B40" w:rsidP="00923B40">
                  <w:pPr>
                    <w:pStyle w:val="Default"/>
                    <w:rPr>
                      <w:rFonts w:ascii="Verdana" w:hAnsi="Verdana"/>
                      <w:b/>
                      <w:bCs/>
                      <w:sz w:val="16"/>
                      <w:szCs w:val="16"/>
                      <w:lang w:val="nl-BE"/>
                    </w:rPr>
                  </w:pPr>
                </w:p>
              </w:tc>
              <w:tc>
                <w:tcPr>
                  <w:tcW w:w="1199" w:type="pct"/>
                  <w:tcBorders>
                    <w:bottom w:val="single" w:sz="4" w:space="0" w:color="auto"/>
                  </w:tcBorders>
                  <w:shd w:val="clear" w:color="auto" w:fill="auto"/>
                </w:tcPr>
                <w:p w14:paraId="617B81D6" w14:textId="210E44F0" w:rsidR="00923B40" w:rsidRPr="0028539F" w:rsidRDefault="00DB63E1" w:rsidP="00923B40">
                  <w:pPr>
                    <w:pStyle w:val="Default"/>
                    <w:rPr>
                      <w:rFonts w:ascii="Verdana" w:hAnsi="Verdana"/>
                      <w:b/>
                      <w:bCs/>
                      <w:sz w:val="16"/>
                      <w:szCs w:val="16"/>
                      <w:lang w:val="nl-BE"/>
                    </w:rPr>
                  </w:pPr>
                  <w:r>
                    <w:rPr>
                      <w:rFonts w:ascii="Verdana" w:hAnsi="Verdana"/>
                      <w:b/>
                      <w:bCs/>
                      <w:sz w:val="16"/>
                      <w:szCs w:val="16"/>
                      <w:lang w:val="nl-BE"/>
                    </w:rPr>
                    <w:t>DPd</w:t>
                  </w:r>
                  <w:r w:rsidR="00923B40" w:rsidRPr="0028539F">
                    <w:rPr>
                      <w:rFonts w:ascii="Verdana" w:hAnsi="Verdana"/>
                      <w:b/>
                      <w:bCs/>
                      <w:sz w:val="16"/>
                      <w:szCs w:val="16"/>
                      <w:lang w:val="nl-BE"/>
                    </w:rPr>
                    <w:t xml:space="preserve"> (n=151)</w:t>
                  </w:r>
                </w:p>
              </w:tc>
              <w:tc>
                <w:tcPr>
                  <w:tcW w:w="1148" w:type="pct"/>
                  <w:tcBorders>
                    <w:bottom w:val="single" w:sz="4" w:space="0" w:color="auto"/>
                  </w:tcBorders>
                  <w:shd w:val="clear" w:color="auto" w:fill="auto"/>
                </w:tcPr>
                <w:p w14:paraId="5A30D7F1" w14:textId="77777777" w:rsidR="00923B40" w:rsidRPr="0028539F" w:rsidRDefault="00923B40" w:rsidP="00923B40">
                  <w:pPr>
                    <w:pStyle w:val="Default"/>
                    <w:rPr>
                      <w:rFonts w:ascii="Verdana" w:hAnsi="Verdana"/>
                      <w:b/>
                      <w:bCs/>
                      <w:sz w:val="16"/>
                      <w:szCs w:val="16"/>
                      <w:lang w:val="nl-BE"/>
                    </w:rPr>
                  </w:pPr>
                  <w:r w:rsidRPr="0028539F">
                    <w:rPr>
                      <w:rFonts w:ascii="Verdana" w:hAnsi="Verdana"/>
                      <w:b/>
                      <w:bCs/>
                      <w:sz w:val="16"/>
                      <w:szCs w:val="16"/>
                      <w:lang w:val="nl-BE"/>
                    </w:rPr>
                    <w:t>Pd (n=153)</w:t>
                  </w:r>
                </w:p>
              </w:tc>
            </w:tr>
            <w:tr w:rsidR="00923B40" w:rsidRPr="00923B40" w14:paraId="53FCA6C4"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vAlign w:val="bottom"/>
                </w:tcPr>
                <w:p w14:paraId="08C5D674" w14:textId="77777777" w:rsidR="00923B40" w:rsidRPr="0028539F" w:rsidRDefault="00923B40" w:rsidP="00923B40">
                  <w:pPr>
                    <w:pStyle w:val="Default"/>
                    <w:rPr>
                      <w:rFonts w:ascii="Verdana" w:hAnsi="Verdana"/>
                      <w:b/>
                      <w:bCs/>
                      <w:sz w:val="16"/>
                      <w:szCs w:val="16"/>
                    </w:rPr>
                  </w:pPr>
                  <w:proofErr w:type="spellStart"/>
                  <w:r w:rsidRPr="0028539F">
                    <w:rPr>
                      <w:rFonts w:ascii="Verdana" w:hAnsi="Verdana"/>
                      <w:b/>
                      <w:bCs/>
                      <w:sz w:val="16"/>
                      <w:szCs w:val="16"/>
                    </w:rPr>
                    <w:t>Totaalresponspercentage</w:t>
                  </w:r>
                  <w:proofErr w:type="spellEnd"/>
                  <w:r w:rsidRPr="0028539F">
                    <w:rPr>
                      <w:rFonts w:ascii="Verdana" w:hAnsi="Verdana"/>
                      <w:b/>
                      <w:bCs/>
                      <w:sz w:val="16"/>
                      <w:szCs w:val="16"/>
                    </w:rPr>
                    <w:t xml:space="preserve"> (</w:t>
                  </w:r>
                  <w:proofErr w:type="spellStart"/>
                  <w:r w:rsidRPr="0028539F">
                    <w:rPr>
                      <w:rFonts w:ascii="Verdana" w:hAnsi="Verdana"/>
                      <w:b/>
                      <w:bCs/>
                      <w:sz w:val="16"/>
                      <w:szCs w:val="16"/>
                    </w:rPr>
                    <w:t>sCR+CR+VGPR+PR</w:t>
                  </w:r>
                  <w:proofErr w:type="spellEnd"/>
                  <w:r w:rsidRPr="0028539F">
                    <w:rPr>
                      <w:rFonts w:ascii="Verdana" w:hAnsi="Verdana"/>
                      <w:b/>
                      <w:bCs/>
                      <w:sz w:val="16"/>
                      <w:szCs w:val="16"/>
                    </w:rPr>
                    <w:t>) n(%)</w:t>
                  </w:r>
                  <w:r w:rsidRPr="0028539F">
                    <w:rPr>
                      <w:rFonts w:ascii="Verdana" w:hAnsi="Verdana"/>
                      <w:b/>
                      <w:bCs/>
                      <w:sz w:val="16"/>
                      <w:szCs w:val="16"/>
                      <w:vertAlign w:val="superscript"/>
                    </w:rPr>
                    <w:t>a</w:t>
                  </w:r>
                </w:p>
              </w:tc>
              <w:tc>
                <w:tcPr>
                  <w:tcW w:w="1199" w:type="pct"/>
                  <w:tcBorders>
                    <w:top w:val="single" w:sz="4" w:space="0" w:color="auto"/>
                    <w:left w:val="single" w:sz="4" w:space="0" w:color="auto"/>
                    <w:bottom w:val="single" w:sz="4" w:space="0" w:color="auto"/>
                    <w:right w:val="single" w:sz="4" w:space="0" w:color="auto"/>
                  </w:tcBorders>
                  <w:shd w:val="clear" w:color="auto" w:fill="FFFFFF"/>
                  <w:vAlign w:val="bottom"/>
                </w:tcPr>
                <w:p w14:paraId="28C0C814"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104 (68,9%)</w:t>
                  </w:r>
                </w:p>
              </w:tc>
              <w:tc>
                <w:tcPr>
                  <w:tcW w:w="1148" w:type="pct"/>
                  <w:tcBorders>
                    <w:top w:val="single" w:sz="4" w:space="0" w:color="auto"/>
                    <w:left w:val="single" w:sz="4" w:space="0" w:color="auto"/>
                    <w:bottom w:val="single" w:sz="4" w:space="0" w:color="auto"/>
                    <w:right w:val="single" w:sz="4" w:space="0" w:color="auto"/>
                  </w:tcBorders>
                  <w:shd w:val="clear" w:color="auto" w:fill="FFFFFF"/>
                  <w:vAlign w:val="bottom"/>
                </w:tcPr>
                <w:p w14:paraId="06C879FE"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71 (46,4%)</w:t>
                  </w:r>
                </w:p>
              </w:tc>
            </w:tr>
            <w:tr w:rsidR="00923B40" w:rsidRPr="00923B40" w14:paraId="1927A6B0"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1E968E76"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p-waarde</w:t>
                  </w:r>
                  <w:r w:rsidRPr="0028539F">
                    <w:rPr>
                      <w:rFonts w:ascii="Verdana" w:hAnsi="Verdana"/>
                      <w:sz w:val="16"/>
                      <w:szCs w:val="16"/>
                      <w:vertAlign w:val="superscript"/>
                      <w:lang w:val="nl-BE"/>
                    </w:rPr>
                    <w:t>b</w:t>
                  </w:r>
                </w:p>
              </w:tc>
              <w:tc>
                <w:tcPr>
                  <w:tcW w:w="2347"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10E415DE"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&lt;0,0001</w:t>
                  </w:r>
                </w:p>
              </w:tc>
            </w:tr>
            <w:tr w:rsidR="00923B40" w:rsidRPr="00923B40" w14:paraId="7BFC779C"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21327AE4"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Stringente complete respons (sCR)</w:t>
                  </w:r>
                </w:p>
              </w:tc>
              <w:tc>
                <w:tcPr>
                  <w:tcW w:w="1199" w:type="pct"/>
                  <w:tcBorders>
                    <w:top w:val="single" w:sz="4" w:space="0" w:color="auto"/>
                    <w:left w:val="single" w:sz="4" w:space="0" w:color="auto"/>
                    <w:bottom w:val="single" w:sz="4" w:space="0" w:color="auto"/>
                    <w:right w:val="single" w:sz="4" w:space="0" w:color="auto"/>
                  </w:tcBorders>
                  <w:shd w:val="clear" w:color="auto" w:fill="FFFFFF"/>
                  <w:vAlign w:val="bottom"/>
                </w:tcPr>
                <w:p w14:paraId="28A14536"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14 (9,3%)</w:t>
                  </w:r>
                </w:p>
              </w:tc>
              <w:tc>
                <w:tcPr>
                  <w:tcW w:w="1148" w:type="pct"/>
                  <w:tcBorders>
                    <w:top w:val="single" w:sz="4" w:space="0" w:color="auto"/>
                    <w:left w:val="single" w:sz="4" w:space="0" w:color="auto"/>
                    <w:bottom w:val="single" w:sz="4" w:space="0" w:color="auto"/>
                    <w:right w:val="single" w:sz="4" w:space="0" w:color="auto"/>
                  </w:tcBorders>
                  <w:shd w:val="clear" w:color="auto" w:fill="FFFFFF"/>
                  <w:vAlign w:val="bottom"/>
                </w:tcPr>
                <w:p w14:paraId="4DE8EDED"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2 (1,3%)</w:t>
                  </w:r>
                </w:p>
              </w:tc>
            </w:tr>
            <w:tr w:rsidR="00923B40" w:rsidRPr="00923B40" w14:paraId="6D39F4D8"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1F8585B3"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Complete respons (CR)</w:t>
                  </w:r>
                </w:p>
              </w:tc>
              <w:tc>
                <w:tcPr>
                  <w:tcW w:w="1199" w:type="pct"/>
                  <w:tcBorders>
                    <w:top w:val="single" w:sz="4" w:space="0" w:color="auto"/>
                    <w:left w:val="single" w:sz="4" w:space="0" w:color="auto"/>
                    <w:bottom w:val="single" w:sz="4" w:space="0" w:color="auto"/>
                    <w:right w:val="single" w:sz="4" w:space="0" w:color="auto"/>
                  </w:tcBorders>
                  <w:shd w:val="clear" w:color="auto" w:fill="FFFFFF"/>
                  <w:vAlign w:val="bottom"/>
                </w:tcPr>
                <w:p w14:paraId="6066D867"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23 (15,2%)</w:t>
                  </w:r>
                </w:p>
              </w:tc>
              <w:tc>
                <w:tcPr>
                  <w:tcW w:w="1148" w:type="pct"/>
                  <w:tcBorders>
                    <w:top w:val="single" w:sz="4" w:space="0" w:color="auto"/>
                    <w:left w:val="single" w:sz="4" w:space="0" w:color="auto"/>
                    <w:bottom w:val="single" w:sz="4" w:space="0" w:color="auto"/>
                    <w:right w:val="single" w:sz="4" w:space="0" w:color="auto"/>
                  </w:tcBorders>
                  <w:shd w:val="clear" w:color="auto" w:fill="FFFFFF"/>
                  <w:vAlign w:val="bottom"/>
                </w:tcPr>
                <w:p w14:paraId="6488BFFB"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4 (2,6%)</w:t>
                  </w:r>
                </w:p>
              </w:tc>
            </w:tr>
            <w:tr w:rsidR="00923B40" w:rsidRPr="00923B40" w14:paraId="2BF4E5B3"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6372FB8D"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Zeer goede partiële respons (VGPR)</w:t>
                  </w:r>
                </w:p>
              </w:tc>
              <w:tc>
                <w:tcPr>
                  <w:tcW w:w="1199" w:type="pct"/>
                  <w:tcBorders>
                    <w:top w:val="single" w:sz="4" w:space="0" w:color="auto"/>
                    <w:left w:val="single" w:sz="4" w:space="0" w:color="auto"/>
                    <w:bottom w:val="single" w:sz="4" w:space="0" w:color="auto"/>
                    <w:right w:val="single" w:sz="4" w:space="0" w:color="auto"/>
                  </w:tcBorders>
                  <w:shd w:val="clear" w:color="auto" w:fill="FFFFFF"/>
                  <w:vAlign w:val="bottom"/>
                </w:tcPr>
                <w:p w14:paraId="4D293E71"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40 (26,5%)</w:t>
                  </w:r>
                </w:p>
              </w:tc>
              <w:tc>
                <w:tcPr>
                  <w:tcW w:w="1148" w:type="pct"/>
                  <w:tcBorders>
                    <w:top w:val="single" w:sz="4" w:space="0" w:color="auto"/>
                    <w:left w:val="single" w:sz="4" w:space="0" w:color="auto"/>
                    <w:bottom w:val="single" w:sz="4" w:space="0" w:color="auto"/>
                    <w:right w:val="single" w:sz="4" w:space="0" w:color="auto"/>
                  </w:tcBorders>
                  <w:shd w:val="clear" w:color="auto" w:fill="FFFFFF"/>
                  <w:vAlign w:val="bottom"/>
                </w:tcPr>
                <w:p w14:paraId="424D564F"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24 (15,7%)</w:t>
                  </w:r>
                </w:p>
              </w:tc>
            </w:tr>
            <w:tr w:rsidR="00923B40" w:rsidRPr="00923B40" w14:paraId="07642DB2"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6D1CC510" w14:textId="77777777" w:rsidR="00923B40" w:rsidRPr="0028539F" w:rsidRDefault="00923B40" w:rsidP="00923B40">
                  <w:pPr>
                    <w:pStyle w:val="Default"/>
                    <w:rPr>
                      <w:rFonts w:ascii="Verdana" w:hAnsi="Verdana"/>
                      <w:sz w:val="16"/>
                      <w:szCs w:val="16"/>
                      <w:lang w:val="nl-BE"/>
                    </w:rPr>
                  </w:pPr>
                  <w:r w:rsidRPr="0028539F">
                    <w:rPr>
                      <w:rFonts w:ascii="Verdana" w:hAnsi="Verdana"/>
                      <w:bCs/>
                      <w:iCs/>
                      <w:sz w:val="16"/>
                      <w:szCs w:val="16"/>
                      <w:lang w:val="nl-BE"/>
                    </w:rPr>
                    <w:t xml:space="preserve">Partiële </w:t>
                  </w:r>
                  <w:r w:rsidRPr="0028539F">
                    <w:rPr>
                      <w:rFonts w:ascii="Verdana" w:hAnsi="Verdana"/>
                      <w:sz w:val="16"/>
                      <w:szCs w:val="16"/>
                      <w:lang w:val="nl-BE"/>
                    </w:rPr>
                    <w:t>respons (PR)</w:t>
                  </w:r>
                </w:p>
              </w:tc>
              <w:tc>
                <w:tcPr>
                  <w:tcW w:w="1199" w:type="pct"/>
                  <w:tcBorders>
                    <w:top w:val="single" w:sz="4" w:space="0" w:color="auto"/>
                    <w:left w:val="single" w:sz="4" w:space="0" w:color="auto"/>
                    <w:bottom w:val="single" w:sz="4" w:space="0" w:color="auto"/>
                    <w:right w:val="single" w:sz="4" w:space="0" w:color="auto"/>
                  </w:tcBorders>
                  <w:shd w:val="clear" w:color="auto" w:fill="FFFFFF"/>
                  <w:vAlign w:val="bottom"/>
                </w:tcPr>
                <w:p w14:paraId="03C0EA22"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27 (17,9%)</w:t>
                  </w:r>
                </w:p>
              </w:tc>
              <w:tc>
                <w:tcPr>
                  <w:tcW w:w="1148" w:type="pct"/>
                  <w:tcBorders>
                    <w:top w:val="single" w:sz="4" w:space="0" w:color="auto"/>
                    <w:left w:val="single" w:sz="4" w:space="0" w:color="auto"/>
                    <w:bottom w:val="single" w:sz="4" w:space="0" w:color="auto"/>
                    <w:right w:val="single" w:sz="4" w:space="0" w:color="auto"/>
                  </w:tcBorders>
                  <w:shd w:val="clear" w:color="auto" w:fill="FFFFFF"/>
                  <w:vAlign w:val="bottom"/>
                </w:tcPr>
                <w:p w14:paraId="1AE2BC72"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41 (26,8%)</w:t>
                  </w:r>
                </w:p>
              </w:tc>
            </w:tr>
            <w:tr w:rsidR="00923B40" w:rsidRPr="00923B40" w14:paraId="6DE78FF9"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2939B5B2" w14:textId="77777777" w:rsidR="00923B40" w:rsidRPr="0028539F" w:rsidRDefault="00923B40" w:rsidP="00923B40">
                  <w:pPr>
                    <w:pStyle w:val="Default"/>
                    <w:rPr>
                      <w:rFonts w:ascii="Verdana" w:hAnsi="Verdana"/>
                      <w:b/>
                      <w:bCs/>
                      <w:sz w:val="16"/>
                      <w:szCs w:val="16"/>
                      <w:lang w:val="nl-BE"/>
                    </w:rPr>
                  </w:pPr>
                  <w:r w:rsidRPr="0028539F">
                    <w:rPr>
                      <w:rFonts w:ascii="Verdana" w:hAnsi="Verdana"/>
                      <w:b/>
                      <w:bCs/>
                      <w:sz w:val="16"/>
                      <w:szCs w:val="16"/>
                      <w:lang w:val="nl-BE"/>
                    </w:rPr>
                    <w:t>MRD-negativiteit</w:t>
                  </w:r>
                  <w:r w:rsidRPr="0028539F">
                    <w:rPr>
                      <w:rFonts w:ascii="Verdana" w:hAnsi="Verdana"/>
                      <w:b/>
                      <w:bCs/>
                      <w:sz w:val="16"/>
                      <w:szCs w:val="16"/>
                      <w:vertAlign w:val="superscript"/>
                      <w:lang w:val="nl-BE"/>
                    </w:rPr>
                    <w:t>c</w:t>
                  </w:r>
                  <w:r w:rsidRPr="0028539F">
                    <w:rPr>
                      <w:rFonts w:ascii="Verdana" w:hAnsi="Verdana"/>
                      <w:b/>
                      <w:bCs/>
                      <w:sz w:val="16"/>
                      <w:szCs w:val="16"/>
                      <w:lang w:val="nl-BE"/>
                    </w:rPr>
                    <w:t xml:space="preserve"> n(%)</w:t>
                  </w:r>
                </w:p>
              </w:tc>
              <w:tc>
                <w:tcPr>
                  <w:tcW w:w="1199" w:type="pct"/>
                  <w:shd w:val="clear" w:color="auto" w:fill="FFFFFF"/>
                  <w:vAlign w:val="bottom"/>
                </w:tcPr>
                <w:p w14:paraId="25FC31B3"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13 (8,7%)</w:t>
                  </w:r>
                </w:p>
              </w:tc>
              <w:tc>
                <w:tcPr>
                  <w:tcW w:w="1148" w:type="pct"/>
                  <w:shd w:val="clear" w:color="auto" w:fill="FFFFFF"/>
                  <w:vAlign w:val="bottom"/>
                </w:tcPr>
                <w:p w14:paraId="570B772B"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3 (2,0%)</w:t>
                  </w:r>
                </w:p>
              </w:tc>
            </w:tr>
            <w:tr w:rsidR="00923B40" w:rsidRPr="00923B40" w14:paraId="5343D0C9"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678B3E1D"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95%-BI (%)</w:t>
                  </w:r>
                </w:p>
              </w:tc>
              <w:tc>
                <w:tcPr>
                  <w:tcW w:w="1199" w:type="pct"/>
                  <w:tcBorders>
                    <w:bottom w:val="single" w:sz="4" w:space="0" w:color="auto"/>
                  </w:tcBorders>
                  <w:shd w:val="clear" w:color="auto" w:fill="FFFFFF"/>
                  <w:vAlign w:val="bottom"/>
                </w:tcPr>
                <w:p w14:paraId="63DAC5B6"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(4,7%, 14,3%)</w:t>
                  </w:r>
                </w:p>
              </w:tc>
              <w:tc>
                <w:tcPr>
                  <w:tcW w:w="1148" w:type="pct"/>
                  <w:tcBorders>
                    <w:bottom w:val="single" w:sz="4" w:space="0" w:color="auto"/>
                  </w:tcBorders>
                  <w:shd w:val="clear" w:color="auto" w:fill="FFFFFF"/>
                  <w:vAlign w:val="bottom"/>
                </w:tcPr>
                <w:p w14:paraId="5ADFB587"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(0,4%, 5,6%)</w:t>
                  </w:r>
                </w:p>
              </w:tc>
            </w:tr>
            <w:tr w:rsidR="00923B40" w:rsidRPr="00923B40" w14:paraId="7699AB4C" w14:textId="77777777" w:rsidTr="0028539F">
              <w:trPr>
                <w:cantSplit/>
                <w:jc w:val="center"/>
              </w:trPr>
              <w:tc>
                <w:tcPr>
                  <w:tcW w:w="2653" w:type="pct"/>
                  <w:tcBorders>
                    <w:top w:val="single" w:sz="4" w:space="0" w:color="auto"/>
                    <w:left w:val="single" w:sz="4" w:space="0" w:color="auto"/>
                    <w:bottom w:val="single" w:sz="4" w:space="0" w:color="auto"/>
                    <w:right w:val="single" w:sz="4" w:space="0" w:color="auto"/>
                  </w:tcBorders>
                </w:tcPr>
                <w:p w14:paraId="6BAD9991" w14:textId="77777777" w:rsidR="00923B40" w:rsidRPr="0028539F" w:rsidRDefault="00923B40" w:rsidP="00923B40">
                  <w:pPr>
                    <w:pStyle w:val="Default"/>
                    <w:rPr>
                      <w:rFonts w:ascii="Verdana" w:hAnsi="Verdana"/>
                      <w:sz w:val="16"/>
                      <w:szCs w:val="16"/>
                      <w:vertAlign w:val="superscript"/>
                      <w:lang w:val="nl-BE"/>
                    </w:rPr>
                  </w:pPr>
                  <w:r w:rsidRPr="0028539F">
                    <w:rPr>
                      <w:rFonts w:ascii="Verdana" w:hAnsi="Verdana"/>
                      <w:sz w:val="16"/>
                      <w:szCs w:val="16"/>
                      <w:lang w:val="nl-BE"/>
                    </w:rPr>
                    <w:t>p-waarde</w:t>
                  </w:r>
                  <w:r w:rsidRPr="0028539F">
                    <w:rPr>
                      <w:rFonts w:ascii="Verdana" w:hAnsi="Verdana"/>
                      <w:sz w:val="16"/>
                      <w:szCs w:val="16"/>
                      <w:vertAlign w:val="superscript"/>
                      <w:lang w:val="nl-BE"/>
                    </w:rPr>
                    <w:t>d</w:t>
                  </w:r>
                </w:p>
              </w:tc>
              <w:tc>
                <w:tcPr>
                  <w:tcW w:w="2347" w:type="pct"/>
                  <w:gridSpan w:val="2"/>
                  <w:tcBorders>
                    <w:bottom w:val="single" w:sz="4" w:space="0" w:color="auto"/>
                  </w:tcBorders>
                  <w:shd w:val="clear" w:color="auto" w:fill="FFFFFF"/>
                  <w:vAlign w:val="bottom"/>
                </w:tcPr>
                <w:p w14:paraId="7DE934C0" w14:textId="77777777" w:rsidR="00923B40" w:rsidRPr="0028539F" w:rsidRDefault="00923B40" w:rsidP="00923B40">
                  <w:pPr>
                    <w:pStyle w:val="Default"/>
                    <w:rPr>
                      <w:rFonts w:ascii="Verdana" w:hAnsi="Verdana"/>
                      <w:sz w:val="16"/>
                      <w:szCs w:val="16"/>
                      <w:lang w:val="nl-BE"/>
                    </w:rPr>
                  </w:pPr>
                  <w:r w:rsidRPr="0028539F">
                    <w:rPr>
                      <w:rFonts w:ascii="Verdana" w:hAnsi="Verdana"/>
                      <w:sz w:val="16"/>
                      <w:szCs w:val="16"/>
                      <w:lang w:val="nl-BE"/>
                    </w:rPr>
                    <w:t>0,0102</w:t>
                  </w:r>
                </w:p>
              </w:tc>
            </w:tr>
            <w:tr w:rsidR="00923B40" w:rsidRPr="00923B40" w14:paraId="01FAE924" w14:textId="77777777" w:rsidTr="0028539F">
              <w:trPr>
                <w:cantSplit/>
                <w:jc w:val="center"/>
              </w:trPr>
              <w:tc>
                <w:tcPr>
                  <w:tcW w:w="5000" w:type="pct"/>
                  <w:gridSpan w:val="3"/>
                  <w:tcBorders>
                    <w:top w:val="single" w:sz="4" w:space="0" w:color="auto"/>
                    <w:left w:val="nil"/>
                    <w:bottom w:val="nil"/>
                    <w:right w:val="nil"/>
                  </w:tcBorders>
                </w:tcPr>
                <w:p w14:paraId="004D8510" w14:textId="71B8E06A" w:rsidR="00923B40" w:rsidRPr="008D4AB3" w:rsidRDefault="00DB63E1" w:rsidP="00923B40">
                  <w:pPr>
                    <w:pStyle w:val="Default"/>
                    <w:rPr>
                      <w:rFonts w:ascii="Verdana" w:hAnsi="Verdana"/>
                      <w:sz w:val="16"/>
                      <w:szCs w:val="16"/>
                      <w:lang w:val="nl-NL"/>
                    </w:rPr>
                  </w:pPr>
                  <w:r w:rsidRPr="008D4AB3">
                    <w:rPr>
                      <w:rFonts w:ascii="Verdana" w:hAnsi="Verdana"/>
                      <w:sz w:val="16"/>
                      <w:szCs w:val="16"/>
                      <w:lang w:val="nl-NL"/>
                    </w:rPr>
                    <w:t>DPd</w:t>
                  </w:r>
                  <w:r w:rsidR="00923B40" w:rsidRPr="008D4AB3">
                    <w:rPr>
                      <w:rFonts w:ascii="Verdana" w:hAnsi="Verdana"/>
                      <w:sz w:val="16"/>
                      <w:szCs w:val="16"/>
                      <w:lang w:val="nl-NL"/>
                    </w:rPr>
                    <w:t>=daratumumab-pomalidomide-dexamethason; Pd=pomalidomide-dexamethason; MRD=</w:t>
                  </w:r>
                  <w:r w:rsidR="00923B40" w:rsidRPr="008D4AB3">
                    <w:rPr>
                      <w:rFonts w:ascii="Verdana" w:hAnsi="Verdana"/>
                      <w:i/>
                      <w:iCs/>
                      <w:sz w:val="16"/>
                      <w:szCs w:val="16"/>
                      <w:lang w:val="nl-NL"/>
                    </w:rPr>
                    <w:t>minimal residual disease</w:t>
                  </w:r>
                  <w:r w:rsidR="00923B40" w:rsidRPr="008D4AB3">
                    <w:rPr>
                      <w:rFonts w:ascii="Verdana" w:hAnsi="Verdana"/>
                      <w:sz w:val="16"/>
                      <w:szCs w:val="16"/>
                      <w:lang w:val="nl-NL"/>
                    </w:rPr>
                    <w:t xml:space="preserve">; </w:t>
                  </w:r>
                  <w:r w:rsidR="00923B40" w:rsidRPr="008D4AB3">
                    <w:rPr>
                      <w:rFonts w:ascii="Verdana" w:hAnsi="Verdana"/>
                      <w:bCs/>
                      <w:iCs/>
                      <w:sz w:val="16"/>
                      <w:szCs w:val="16"/>
                      <w:lang w:val="nl-NL"/>
                    </w:rPr>
                    <w:t>BI=betrouwbaarheidsinterval</w:t>
                  </w:r>
                </w:p>
                <w:p w14:paraId="38F6736E" w14:textId="53A23036" w:rsidR="00923B40" w:rsidRPr="0028539F" w:rsidRDefault="00923B40" w:rsidP="00923B40">
                  <w:pPr>
                    <w:pStyle w:val="Default"/>
                    <w:rPr>
                      <w:rFonts w:ascii="Verdana" w:hAnsi="Verdana"/>
                      <w:sz w:val="16"/>
                      <w:szCs w:val="16"/>
                      <w:lang w:val="nl-BE"/>
                    </w:rPr>
                  </w:pPr>
                  <w:proofErr w:type="spellStart"/>
                  <w:r w:rsidRPr="0028539F">
                    <w:rPr>
                      <w:rFonts w:ascii="Verdana" w:hAnsi="Verdana"/>
                      <w:sz w:val="16"/>
                      <w:szCs w:val="16"/>
                      <w:vertAlign w:val="superscript"/>
                      <w:lang w:val="nl-BE"/>
                    </w:rPr>
                    <w:t>a</w:t>
                  </w:r>
                  <w:r w:rsidRPr="0028539F">
                    <w:rPr>
                      <w:rFonts w:ascii="Verdana" w:hAnsi="Verdana"/>
                      <w:sz w:val="16"/>
                      <w:szCs w:val="16"/>
                      <w:lang w:val="nl-BE"/>
                    </w:rPr>
                    <w:t>Gebaseerd</w:t>
                  </w:r>
                  <w:proofErr w:type="spellEnd"/>
                  <w:r w:rsidRPr="0028539F">
                    <w:rPr>
                      <w:rFonts w:ascii="Verdana" w:hAnsi="Verdana"/>
                      <w:sz w:val="16"/>
                      <w:szCs w:val="16"/>
                      <w:lang w:val="nl-BE"/>
                    </w:rPr>
                    <w:t xml:space="preserve"> op </w:t>
                  </w:r>
                  <w:proofErr w:type="spellStart"/>
                  <w:r w:rsidRPr="0028539F">
                    <w:rPr>
                      <w:rFonts w:ascii="Verdana" w:hAnsi="Verdana"/>
                      <w:i/>
                      <w:sz w:val="16"/>
                      <w:szCs w:val="16"/>
                      <w:lang w:val="nl-BE"/>
                    </w:rPr>
                    <w:t>intent</w:t>
                  </w:r>
                  <w:proofErr w:type="spellEnd"/>
                  <w:r w:rsidRPr="0028539F">
                    <w:rPr>
                      <w:rFonts w:ascii="Verdana" w:hAnsi="Verdana"/>
                      <w:i/>
                      <w:sz w:val="16"/>
                      <w:szCs w:val="16"/>
                      <w:lang w:val="nl-BE"/>
                    </w:rPr>
                    <w:t>-</w:t>
                  </w:r>
                  <w:proofErr w:type="spellStart"/>
                  <w:r w:rsidRPr="0028539F">
                    <w:rPr>
                      <w:rFonts w:ascii="Verdana" w:hAnsi="Verdana"/>
                      <w:i/>
                      <w:sz w:val="16"/>
                      <w:szCs w:val="16"/>
                      <w:lang w:val="nl-BE"/>
                    </w:rPr>
                    <w:t>to</w:t>
                  </w:r>
                  <w:proofErr w:type="spellEnd"/>
                  <w:r w:rsidRPr="0028539F">
                    <w:rPr>
                      <w:rFonts w:ascii="Verdana" w:hAnsi="Verdana"/>
                      <w:i/>
                      <w:sz w:val="16"/>
                      <w:szCs w:val="16"/>
                      <w:lang w:val="nl-BE"/>
                    </w:rPr>
                    <w:t>-</w:t>
                  </w:r>
                  <w:proofErr w:type="spellStart"/>
                  <w:r w:rsidRPr="0028539F">
                    <w:rPr>
                      <w:rFonts w:ascii="Verdana" w:hAnsi="Verdana"/>
                      <w:i/>
                      <w:sz w:val="16"/>
                      <w:szCs w:val="16"/>
                      <w:lang w:val="nl-BE"/>
                    </w:rPr>
                    <w:t>treat</w:t>
                  </w:r>
                  <w:proofErr w:type="spellEnd"/>
                  <w:r w:rsidRPr="0028539F">
                    <w:rPr>
                      <w:rFonts w:ascii="Verdana" w:hAnsi="Verdana"/>
                      <w:sz w:val="16"/>
                      <w:szCs w:val="16"/>
                      <w:lang w:val="nl-BE"/>
                    </w:rPr>
                    <w:t>-populatie</w:t>
                  </w:r>
                </w:p>
                <w:p w14:paraId="61B71AC7" w14:textId="10206C19" w:rsidR="00923B40" w:rsidRPr="0028539F" w:rsidRDefault="00923B40" w:rsidP="00923B40">
                  <w:pPr>
                    <w:pStyle w:val="Default"/>
                    <w:rPr>
                      <w:rFonts w:ascii="Verdana" w:hAnsi="Verdana"/>
                      <w:sz w:val="16"/>
                      <w:szCs w:val="16"/>
                      <w:lang w:val="nl-BE"/>
                    </w:rPr>
                  </w:pPr>
                  <w:proofErr w:type="spellStart"/>
                  <w:r w:rsidRPr="0028539F">
                    <w:rPr>
                      <w:rFonts w:ascii="Verdana" w:hAnsi="Verdana"/>
                      <w:sz w:val="16"/>
                      <w:szCs w:val="16"/>
                      <w:vertAlign w:val="superscript"/>
                      <w:lang w:val="nl-BE"/>
                    </w:rPr>
                    <w:t>b</w:t>
                  </w:r>
                  <w:r w:rsidRPr="0028539F">
                    <w:rPr>
                      <w:rFonts w:ascii="Verdana" w:hAnsi="Verdana"/>
                      <w:sz w:val="16"/>
                      <w:szCs w:val="16"/>
                      <w:lang w:val="nl-BE"/>
                    </w:rPr>
                    <w:t>p</w:t>
                  </w:r>
                  <w:proofErr w:type="spellEnd"/>
                  <w:r w:rsidRPr="0028539F">
                    <w:rPr>
                      <w:rFonts w:ascii="Verdana" w:hAnsi="Verdana"/>
                      <w:sz w:val="16"/>
                      <w:szCs w:val="16"/>
                      <w:lang w:val="nl-BE"/>
                    </w:rPr>
                    <w:t xml:space="preserve">-waarde uit </w:t>
                  </w:r>
                  <w:proofErr w:type="spellStart"/>
                  <w:r w:rsidRPr="0028539F">
                    <w:rPr>
                      <w:rFonts w:ascii="Verdana" w:hAnsi="Verdana"/>
                      <w:sz w:val="16"/>
                      <w:szCs w:val="16"/>
                      <w:lang w:val="nl-BE"/>
                    </w:rPr>
                    <w:t>Cochran</w:t>
                  </w:r>
                  <w:proofErr w:type="spellEnd"/>
                  <w:r w:rsidRPr="0028539F">
                    <w:rPr>
                      <w:rFonts w:ascii="Verdana" w:hAnsi="Verdana"/>
                      <w:sz w:val="16"/>
                      <w:szCs w:val="16"/>
                      <w:lang w:val="nl-BE"/>
                    </w:rPr>
                    <w:t xml:space="preserve"> Mantel-</w:t>
                  </w:r>
                  <w:proofErr w:type="spellStart"/>
                  <w:r w:rsidRPr="0028539F">
                    <w:rPr>
                      <w:rFonts w:ascii="Verdana" w:hAnsi="Verdana"/>
                      <w:sz w:val="16"/>
                      <w:szCs w:val="16"/>
                      <w:lang w:val="nl-BE"/>
                    </w:rPr>
                    <w:t>Haenszel</w:t>
                  </w:r>
                  <w:proofErr w:type="spellEnd"/>
                  <w:r w:rsidRPr="0028539F">
                    <w:rPr>
                      <w:rFonts w:ascii="Verdana" w:hAnsi="Verdana"/>
                      <w:sz w:val="16"/>
                      <w:szCs w:val="16"/>
                      <w:lang w:val="nl-BE"/>
                    </w:rPr>
                    <w:t xml:space="preserve"> chi-kwadraattoets gecorrigeerd voor stratificatiefactoren</w:t>
                  </w:r>
                </w:p>
                <w:p w14:paraId="488B2806" w14:textId="46DFC4D0" w:rsidR="00923B40" w:rsidRPr="0028539F" w:rsidRDefault="00923B40" w:rsidP="00923B40">
                  <w:pPr>
                    <w:pStyle w:val="Default"/>
                    <w:rPr>
                      <w:rFonts w:ascii="Verdana" w:hAnsi="Verdana"/>
                      <w:sz w:val="16"/>
                      <w:szCs w:val="16"/>
                      <w:lang w:val="nl-BE"/>
                    </w:rPr>
                  </w:pPr>
                  <w:proofErr w:type="spellStart"/>
                  <w:r w:rsidRPr="0028539F">
                    <w:rPr>
                      <w:rFonts w:ascii="Verdana" w:hAnsi="Verdana"/>
                      <w:sz w:val="16"/>
                      <w:szCs w:val="16"/>
                      <w:vertAlign w:val="superscript"/>
                      <w:lang w:val="nl-BE"/>
                    </w:rPr>
                    <w:t>c</w:t>
                  </w:r>
                  <w:r w:rsidRPr="0028539F">
                    <w:rPr>
                      <w:rFonts w:ascii="Verdana" w:hAnsi="Verdana"/>
                      <w:sz w:val="16"/>
                      <w:szCs w:val="16"/>
                      <w:lang w:val="nl-BE"/>
                    </w:rPr>
                    <w:t>MRD-negativiteit</w:t>
                  </w:r>
                  <w:proofErr w:type="spellEnd"/>
                  <w:r w:rsidRPr="0028539F">
                    <w:rPr>
                      <w:rFonts w:ascii="Verdana" w:hAnsi="Verdana"/>
                      <w:sz w:val="16"/>
                      <w:szCs w:val="16"/>
                      <w:lang w:val="nl-BE"/>
                    </w:rPr>
                    <w:t xml:space="preserve"> is gebaseerd op de </w:t>
                  </w:r>
                  <w:r w:rsidRPr="0028539F">
                    <w:rPr>
                      <w:rFonts w:ascii="Verdana" w:hAnsi="Verdana"/>
                      <w:i/>
                      <w:iCs/>
                      <w:sz w:val="16"/>
                      <w:szCs w:val="16"/>
                      <w:lang w:val="nl-BE"/>
                    </w:rPr>
                    <w:t>intent-to-treat</w:t>
                  </w:r>
                  <w:r w:rsidRPr="0028539F">
                    <w:rPr>
                      <w:rFonts w:ascii="Verdana" w:hAnsi="Verdana"/>
                      <w:sz w:val="16"/>
                      <w:szCs w:val="16"/>
                      <w:lang w:val="nl-BE"/>
                    </w:rPr>
                    <w:t>-populatie en een drempelwaarde van 10</w:t>
                  </w:r>
                  <w:r w:rsidRPr="0028539F">
                    <w:rPr>
                      <w:rFonts w:ascii="Verdana" w:hAnsi="Verdana"/>
                      <w:sz w:val="16"/>
                      <w:szCs w:val="16"/>
                      <w:vertAlign w:val="superscript"/>
                      <w:lang w:val="nl-BE"/>
                    </w:rPr>
                    <w:t>-5</w:t>
                  </w:r>
                </w:p>
                <w:p w14:paraId="1D8B3EF4" w14:textId="118E2F37" w:rsidR="00923B40" w:rsidRPr="0028539F" w:rsidRDefault="00923B40" w:rsidP="00923B40">
                  <w:pPr>
                    <w:pStyle w:val="Default"/>
                    <w:rPr>
                      <w:rFonts w:ascii="Verdana" w:hAnsi="Verdana"/>
                      <w:sz w:val="16"/>
                      <w:szCs w:val="16"/>
                      <w:lang w:val="nl-BE"/>
                    </w:rPr>
                  </w:pPr>
                  <w:r w:rsidRPr="0028539F">
                    <w:rPr>
                      <w:rFonts w:ascii="Verdana" w:hAnsi="Verdana"/>
                      <w:sz w:val="16"/>
                      <w:szCs w:val="16"/>
                      <w:vertAlign w:val="superscript"/>
                      <w:lang w:val="nl-BE"/>
                    </w:rPr>
                    <w:t>d</w:t>
                  </w:r>
                  <w:r w:rsidRPr="0028539F">
                    <w:rPr>
                      <w:rFonts w:ascii="Verdana" w:hAnsi="Verdana"/>
                      <w:sz w:val="16"/>
                      <w:szCs w:val="16"/>
                      <w:lang w:val="nl-BE"/>
                    </w:rPr>
                    <w:t>p-waarde van de Fisher-</w:t>
                  </w:r>
                  <w:proofErr w:type="spellStart"/>
                  <w:r w:rsidRPr="0028539F">
                    <w:rPr>
                      <w:rFonts w:ascii="Verdana" w:hAnsi="Verdana"/>
                      <w:sz w:val="16"/>
                      <w:szCs w:val="16"/>
                      <w:lang w:val="nl-BE"/>
                    </w:rPr>
                    <w:t>exacttest</w:t>
                  </w:r>
                  <w:proofErr w:type="spellEnd"/>
                  <w:r w:rsidRPr="0028539F">
                    <w:rPr>
                      <w:rFonts w:ascii="Verdana" w:hAnsi="Verdana"/>
                      <w:sz w:val="16"/>
                      <w:szCs w:val="16"/>
                      <w:lang w:val="nl-BE"/>
                    </w:rPr>
                    <w:t>.</w:t>
                  </w:r>
                </w:p>
              </w:tc>
            </w:tr>
          </w:tbl>
          <w:p w14:paraId="4336A32A" w14:textId="45547DEE" w:rsidR="00923B40" w:rsidRPr="00061F7F" w:rsidRDefault="00923B40" w:rsidP="00370A45">
            <w:pPr>
              <w:rPr>
                <w:rFonts w:ascii="Verdana" w:eastAsia="Verdana" w:hAnsi="Verdana" w:cs="Verdana"/>
                <w:sz w:val="20"/>
                <w:szCs w:val="20"/>
                <w:lang w:val="nl"/>
              </w:rPr>
            </w:pPr>
            <w:r w:rsidRPr="00370A45">
              <w:rPr>
                <w:rFonts w:ascii="Verdana" w:eastAsia="Verdana" w:hAnsi="Verdana" w:cs="Verdana"/>
                <w:sz w:val="20"/>
                <w:szCs w:val="20"/>
                <w:lang w:val="nl"/>
              </w:rPr>
              <w:lastRenderedPageBreak/>
              <w:t xml:space="preserve">Bij de responders was de mediane tijd tot respons 1 maand (spreiding: 0,9 tot 9,1 maanden) in de </w:t>
            </w:r>
            <w:r w:rsidR="00DB63E1" w:rsidRPr="00370A45">
              <w:rPr>
                <w:rFonts w:ascii="Verdana" w:eastAsia="Verdana" w:hAnsi="Verdana" w:cs="Verdana"/>
                <w:sz w:val="20"/>
                <w:szCs w:val="20"/>
                <w:lang w:val="nl"/>
              </w:rPr>
              <w:t>DPd</w:t>
            </w:r>
            <w:r w:rsidRPr="00370A45">
              <w:rPr>
                <w:rFonts w:ascii="Verdana" w:eastAsia="Verdana" w:hAnsi="Verdana" w:cs="Verdana"/>
                <w:sz w:val="20"/>
                <w:szCs w:val="20"/>
                <w:lang w:val="nl"/>
              </w:rPr>
              <w:t xml:space="preserve">-groep en 1,9 maanden (spreiding: 0,9 tot 17,3 maanden) in de Pd-groep. De mediane responsduur werd niet bereikt in de </w:t>
            </w:r>
            <w:r w:rsidR="00DB63E1" w:rsidRPr="00370A45">
              <w:rPr>
                <w:rFonts w:ascii="Verdana" w:eastAsia="Verdana" w:hAnsi="Verdana" w:cs="Verdana"/>
                <w:sz w:val="20"/>
                <w:szCs w:val="20"/>
                <w:lang w:val="nl"/>
              </w:rPr>
              <w:t>DPd</w:t>
            </w:r>
            <w:r w:rsidRPr="00370A45">
              <w:rPr>
                <w:rFonts w:ascii="Verdana" w:eastAsia="Verdana" w:hAnsi="Verdana" w:cs="Verdana"/>
                <w:sz w:val="20"/>
                <w:szCs w:val="20"/>
                <w:lang w:val="nl"/>
              </w:rPr>
              <w:t>-groep (spreiding: 1 tot 34,9+ maanden) en was 15,9 </w:t>
            </w:r>
            <w:r w:rsidRPr="00061F7F">
              <w:rPr>
                <w:rFonts w:ascii="Verdana" w:eastAsia="Verdana" w:hAnsi="Verdana" w:cs="Verdana"/>
                <w:sz w:val="20"/>
                <w:szCs w:val="20"/>
                <w:lang w:val="nl"/>
              </w:rPr>
              <w:t>maanden (spreiding: 1+ tot 24,8 maanden) in de Pd-groep.</w:t>
            </w:r>
          </w:p>
          <w:p w14:paraId="221E6923" w14:textId="77777777" w:rsidR="00923B40" w:rsidRPr="00061F7F" w:rsidRDefault="00923B40" w:rsidP="00923B40">
            <w:pPr>
              <w:pStyle w:val="Default"/>
              <w:rPr>
                <w:rFonts w:ascii="Verdana" w:hAnsi="Verdana"/>
                <w:i/>
                <w:sz w:val="20"/>
                <w:szCs w:val="20"/>
                <w:lang w:val="nl-BE"/>
              </w:rPr>
            </w:pPr>
          </w:p>
          <w:p w14:paraId="400EA2A1" w14:textId="1229073C" w:rsidR="058689AF" w:rsidRPr="00061F7F" w:rsidRDefault="058689AF" w:rsidP="058689AF">
            <w:pPr>
              <w:rPr>
                <w:rFonts w:ascii="Verdana" w:eastAsia="Verdana" w:hAnsi="Verdana" w:cs="Verdana"/>
                <w:sz w:val="20"/>
                <w:szCs w:val="20"/>
                <w:lang w:val="nl"/>
              </w:rPr>
            </w:pPr>
          </w:p>
          <w:p w14:paraId="1C4B7EB8" w14:textId="27BF0EDC" w:rsidR="4BDE07AA" w:rsidRPr="00061F7F" w:rsidRDefault="4BDE07AA" w:rsidP="058689AF">
            <w:pPr>
              <w:rPr>
                <w:rFonts w:ascii="Verdana" w:eastAsia="Verdana" w:hAnsi="Verdana" w:cs="Verdana"/>
                <w:sz w:val="20"/>
                <w:szCs w:val="20"/>
                <w:u w:val="single"/>
                <w:lang w:val="nl"/>
              </w:rPr>
            </w:pPr>
            <w:r w:rsidRPr="00061F7F">
              <w:rPr>
                <w:rFonts w:ascii="Verdana" w:eastAsia="Verdana" w:hAnsi="Verdana" w:cs="Verdana"/>
                <w:sz w:val="20"/>
                <w:szCs w:val="20"/>
                <w:u w:val="single"/>
                <w:lang w:val="nl"/>
              </w:rPr>
              <w:t>Samenvatting van het veiligheidsprofiel</w:t>
            </w:r>
          </w:p>
          <w:p w14:paraId="09CECC33" w14:textId="564324C9" w:rsidR="00061F7F" w:rsidRPr="00061F7F" w:rsidRDefault="00061F7F" w:rsidP="00061F7F">
            <w:pPr>
              <w:pStyle w:val="Default"/>
              <w:rPr>
                <w:rFonts w:ascii="Verdana" w:hAnsi="Verdana"/>
                <w:color w:val="auto"/>
                <w:sz w:val="20"/>
                <w:szCs w:val="20"/>
                <w:lang w:val="nl-NL"/>
              </w:rPr>
            </w:pPr>
            <w:r w:rsidRPr="00061F7F">
              <w:rPr>
                <w:rFonts w:ascii="Verdana" w:hAnsi="Verdana"/>
                <w:sz w:val="20"/>
                <w:szCs w:val="20"/>
                <w:lang w:val="nl-NL"/>
              </w:rPr>
              <w:t>De vaakst voorkomende bijwerkingen, ongeacht de graad (≥ 20% van de patiënten), met daratumumab (hetzij de intraveneuze, hetzij de subcutane formulering) bij toediening als monotherapie of in combinatiebehandeling waren IRR’s, vermoeidheid, nausea, diarree, constipatie, pyrexie, dyspneu, hoesten, neutropenie, trombocytopenie, anemie, oedeem perifeer, perifere sensorische neuropathie en</w:t>
            </w:r>
            <w:r>
              <w:rPr>
                <w:rFonts w:ascii="Verdana" w:hAnsi="Verdana"/>
                <w:sz w:val="20"/>
                <w:szCs w:val="20"/>
                <w:lang w:val="nl-NL"/>
              </w:rPr>
              <w:t xml:space="preserve"> </w:t>
            </w:r>
            <w:r w:rsidRPr="00061F7F">
              <w:rPr>
                <w:rFonts w:ascii="Verdana" w:hAnsi="Verdana"/>
                <w:color w:val="auto"/>
                <w:sz w:val="20"/>
                <w:szCs w:val="20"/>
                <w:lang w:val="nl-NL"/>
              </w:rPr>
              <w:t xml:space="preserve">bovenste-luchtweginfectie. Ernstige bijwerkingen waren pneumonie, bronchitis, bovenste-luchtweginfectie, sepsis, longoedeem, griep, pyrexie, dehydratie, diarree, atriale fibrillatie en syncope. </w:t>
            </w:r>
          </w:p>
          <w:p w14:paraId="4F7447B6" w14:textId="77777777" w:rsidR="00061F7F" w:rsidRDefault="00061F7F" w:rsidP="00061F7F">
            <w:pPr>
              <w:rPr>
                <w:rFonts w:ascii="Verdana" w:hAnsi="Verdana"/>
                <w:sz w:val="20"/>
                <w:szCs w:val="20"/>
              </w:rPr>
            </w:pPr>
          </w:p>
          <w:p w14:paraId="47916F31" w14:textId="4FE997E0" w:rsidR="00061F7F" w:rsidRPr="00061F7F" w:rsidRDefault="00061F7F" w:rsidP="00061F7F">
            <w:pPr>
              <w:rPr>
                <w:rFonts w:ascii="Verdana" w:hAnsi="Verdana"/>
                <w:sz w:val="20"/>
                <w:szCs w:val="20"/>
              </w:rPr>
            </w:pPr>
            <w:r w:rsidRPr="00061F7F">
              <w:rPr>
                <w:rFonts w:ascii="Verdana" w:hAnsi="Verdana"/>
                <w:sz w:val="20"/>
                <w:szCs w:val="20"/>
              </w:rPr>
              <w:t xml:space="preserve">Het bijwerkingenprofiel van </w:t>
            </w:r>
            <w:r>
              <w:rPr>
                <w:rFonts w:ascii="Verdana" w:hAnsi="Verdana"/>
                <w:sz w:val="20"/>
                <w:szCs w:val="20"/>
              </w:rPr>
              <w:t>Darzalex SC</w:t>
            </w:r>
            <w:r w:rsidRPr="00061F7F">
              <w:rPr>
                <w:rFonts w:ascii="Verdana" w:hAnsi="Verdana"/>
                <w:sz w:val="20"/>
                <w:szCs w:val="20"/>
              </w:rPr>
              <w:t xml:space="preserve"> was vergelijkbaar met dat van de intraveneuze formulering, met uitzondering van een lager percentage IRR’s. In de fase III-studie MMY3012 was neutropenie de enige bijwerking die bij </w:t>
            </w:r>
            <w:r>
              <w:rPr>
                <w:rFonts w:ascii="Verdana" w:hAnsi="Verdana"/>
                <w:sz w:val="20"/>
                <w:szCs w:val="20"/>
              </w:rPr>
              <w:t>Darzalex SC</w:t>
            </w:r>
            <w:r w:rsidRPr="00061F7F">
              <w:rPr>
                <w:rFonts w:ascii="Verdana" w:hAnsi="Verdana"/>
                <w:sz w:val="20"/>
                <w:szCs w:val="20"/>
              </w:rPr>
              <w:t xml:space="preserve"> werd gemeld in een ≥ 5% hogere frequentie dan bij intraveneus daratumumab (graad 3 of 4: 13% bij subcutane toediening vs. 8% bij intraveneuze toediening). </w:t>
            </w:r>
          </w:p>
          <w:p w14:paraId="342F05A4" w14:textId="0642B11E" w:rsidR="4BDE07AA" w:rsidRPr="00061F7F" w:rsidRDefault="4BDE07AA" w:rsidP="00061F7F">
            <w:pPr>
              <w:rPr>
                <w:rFonts w:ascii="Verdana" w:eastAsia="Verdana" w:hAnsi="Verdana" w:cs="Verdana"/>
                <w:sz w:val="20"/>
                <w:szCs w:val="20"/>
                <w:lang w:val="nl"/>
              </w:rPr>
            </w:pPr>
            <w:r w:rsidRPr="00061F7F">
              <w:rPr>
                <w:rFonts w:ascii="Verdana" w:eastAsia="Verdana" w:hAnsi="Verdana" w:cs="Verdana"/>
                <w:sz w:val="20"/>
                <w:szCs w:val="20"/>
                <w:lang w:val="nl"/>
              </w:rPr>
              <w:t xml:space="preserve"> </w:t>
            </w:r>
          </w:p>
          <w:p w14:paraId="4E0386E4" w14:textId="5CE82FEB" w:rsidR="4BDE07AA" w:rsidRPr="00061F7F" w:rsidRDefault="4BDE07AA" w:rsidP="058689AF">
            <w:pPr>
              <w:rPr>
                <w:rFonts w:ascii="Verdana" w:eastAsia="Verdana" w:hAnsi="Verdana" w:cs="Verdana"/>
                <w:sz w:val="20"/>
                <w:szCs w:val="20"/>
                <w:u w:val="single"/>
                <w:lang w:val="nl"/>
              </w:rPr>
            </w:pPr>
            <w:r w:rsidRPr="00061F7F">
              <w:rPr>
                <w:rFonts w:ascii="Verdana" w:eastAsia="Verdana" w:hAnsi="Verdana" w:cs="Verdana"/>
                <w:sz w:val="20"/>
                <w:szCs w:val="20"/>
                <w:u w:val="single"/>
                <w:lang w:val="nl"/>
              </w:rPr>
              <w:t>Samenvattende tabel met bijwerkingen</w:t>
            </w:r>
          </w:p>
          <w:p w14:paraId="0B034E13" w14:textId="237F8EDF" w:rsidR="4BDE07AA" w:rsidRPr="00A57F00" w:rsidRDefault="4BDE07AA" w:rsidP="058689AF">
            <w:pPr>
              <w:rPr>
                <w:rFonts w:ascii="Verdana" w:eastAsia="Verdana" w:hAnsi="Verdana" w:cs="Verdana"/>
                <w:sz w:val="20"/>
                <w:szCs w:val="20"/>
                <w:lang w:val="nl"/>
              </w:rPr>
            </w:pPr>
            <w:r w:rsidRPr="00061F7F">
              <w:rPr>
                <w:rFonts w:ascii="Verdana" w:eastAsia="Verdana" w:hAnsi="Verdana" w:cs="Verdana"/>
                <w:sz w:val="20"/>
                <w:szCs w:val="20"/>
                <w:lang w:val="nl"/>
              </w:rPr>
              <w:t xml:space="preserve">Tabel </w:t>
            </w:r>
            <w:r w:rsidR="00061F7F">
              <w:rPr>
                <w:rFonts w:ascii="Verdana" w:eastAsia="Verdana" w:hAnsi="Verdana" w:cs="Verdana"/>
                <w:sz w:val="20"/>
                <w:szCs w:val="20"/>
                <w:lang w:val="nl"/>
              </w:rPr>
              <w:t>2</w:t>
            </w:r>
            <w:r w:rsidRPr="00061F7F">
              <w:rPr>
                <w:rFonts w:ascii="Verdana" w:eastAsia="Verdana" w:hAnsi="Verdana" w:cs="Verdana"/>
                <w:sz w:val="20"/>
                <w:szCs w:val="20"/>
                <w:lang w:val="nl"/>
              </w:rPr>
              <w:t xml:space="preserve"> geeft een samenvatting van de bijwerkingen die optraden bij patiënten die </w:t>
            </w:r>
            <w:r w:rsidR="005E3CA5" w:rsidRPr="00061F7F">
              <w:rPr>
                <w:rFonts w:ascii="Verdana" w:eastAsia="Verdana" w:hAnsi="Verdana" w:cs="Verdana"/>
                <w:sz w:val="20"/>
                <w:szCs w:val="20"/>
                <w:lang w:val="nl"/>
              </w:rPr>
              <w:t xml:space="preserve">Darzalex SC </w:t>
            </w:r>
            <w:r w:rsidRPr="00061F7F">
              <w:rPr>
                <w:rFonts w:ascii="Verdana" w:eastAsia="Verdana" w:hAnsi="Verdana" w:cs="Verdana"/>
                <w:sz w:val="20"/>
                <w:szCs w:val="20"/>
                <w:lang w:val="nl"/>
              </w:rPr>
              <w:t>of de</w:t>
            </w:r>
            <w:r w:rsidRPr="00A57F00">
              <w:rPr>
                <w:rFonts w:ascii="Verdana" w:eastAsia="Verdana" w:hAnsi="Verdana" w:cs="Verdana"/>
                <w:sz w:val="20"/>
                <w:szCs w:val="20"/>
                <w:lang w:val="nl"/>
              </w:rPr>
              <w:t xml:space="preserve"> intraveneuze formulering van daratumumab kregen toegediend. </w:t>
            </w:r>
          </w:p>
          <w:p w14:paraId="7BC95138" w14:textId="10BBC50C" w:rsidR="4BDE07AA" w:rsidRPr="00061F7F" w:rsidRDefault="4BDE07AA" w:rsidP="058689AF">
            <w:pPr>
              <w:rPr>
                <w:rFonts w:ascii="Verdana" w:eastAsia="Verdana" w:hAnsi="Verdana" w:cs="Verdana"/>
                <w:sz w:val="20"/>
                <w:szCs w:val="20"/>
                <w:lang w:val="nl"/>
              </w:rPr>
            </w:pPr>
            <w:r w:rsidRPr="00061F7F">
              <w:rPr>
                <w:rFonts w:ascii="Verdana" w:eastAsia="Verdana" w:hAnsi="Verdana" w:cs="Verdana"/>
                <w:sz w:val="20"/>
                <w:szCs w:val="20"/>
                <w:lang w:val="nl"/>
              </w:rPr>
              <w:t xml:space="preserve"> </w:t>
            </w:r>
          </w:p>
          <w:p w14:paraId="6CF8DA41" w14:textId="3CF01BF8" w:rsidR="00061F7F" w:rsidRPr="00061F7F" w:rsidRDefault="00061F7F" w:rsidP="00061F7F">
            <w:pPr>
              <w:pStyle w:val="Default"/>
              <w:rPr>
                <w:rFonts w:ascii="Verdana" w:hAnsi="Verdana"/>
                <w:sz w:val="20"/>
                <w:szCs w:val="20"/>
                <w:lang w:val="nl-NL"/>
              </w:rPr>
            </w:pPr>
            <w:r w:rsidRPr="00061F7F">
              <w:rPr>
                <w:rFonts w:ascii="Verdana" w:hAnsi="Verdana"/>
                <w:sz w:val="20"/>
                <w:szCs w:val="20"/>
                <w:lang w:val="nl-NL"/>
              </w:rPr>
              <w:t xml:space="preserve">De gegevens zijn een weergave van de blootstelling aan </w:t>
            </w:r>
            <w:r>
              <w:rPr>
                <w:rFonts w:ascii="Verdana" w:hAnsi="Verdana"/>
                <w:sz w:val="20"/>
                <w:szCs w:val="20"/>
                <w:lang w:val="nl-NL"/>
              </w:rPr>
              <w:t>Darzalex SC</w:t>
            </w:r>
            <w:r w:rsidRPr="00061F7F">
              <w:rPr>
                <w:rFonts w:ascii="Verdana" w:hAnsi="Verdana"/>
                <w:sz w:val="20"/>
                <w:szCs w:val="20"/>
                <w:lang w:val="nl-NL"/>
              </w:rPr>
              <w:t xml:space="preserve"> (1.800 mg) bij 639 patiënten met multipel myeloom (MM). De gegevens omvatten 260 patiënten uit een fase III-studie met actieve controle (studie MMY3012) die </w:t>
            </w:r>
            <w:r>
              <w:rPr>
                <w:rFonts w:ascii="Verdana" w:hAnsi="Verdana"/>
                <w:sz w:val="20"/>
                <w:szCs w:val="20"/>
                <w:lang w:val="nl-NL"/>
              </w:rPr>
              <w:t>Darzalex SC</w:t>
            </w:r>
            <w:r w:rsidRPr="00061F7F">
              <w:rPr>
                <w:rFonts w:ascii="Verdana" w:hAnsi="Verdana"/>
                <w:sz w:val="20"/>
                <w:szCs w:val="20"/>
                <w:lang w:val="nl-NL"/>
              </w:rPr>
              <w:t xml:space="preserve"> kregen als monotherapie en 149 patiënten uit een fase III-studie met actieve controle (MMY3013) die </w:t>
            </w:r>
            <w:r>
              <w:rPr>
                <w:rFonts w:ascii="Verdana" w:hAnsi="Verdana"/>
                <w:sz w:val="20"/>
                <w:szCs w:val="20"/>
                <w:lang w:val="nl-NL"/>
              </w:rPr>
              <w:t>Darzalex SC</w:t>
            </w:r>
            <w:r w:rsidRPr="00061F7F">
              <w:rPr>
                <w:rFonts w:ascii="Verdana" w:hAnsi="Verdana"/>
                <w:sz w:val="20"/>
                <w:szCs w:val="20"/>
                <w:lang w:val="nl-NL"/>
              </w:rPr>
              <w:t xml:space="preserve"> kregen in combinatie met </w:t>
            </w:r>
            <w:proofErr w:type="spellStart"/>
            <w:r w:rsidRPr="00061F7F">
              <w:rPr>
                <w:rFonts w:ascii="Verdana" w:hAnsi="Verdana"/>
                <w:sz w:val="20"/>
                <w:szCs w:val="20"/>
                <w:lang w:val="nl-NL"/>
              </w:rPr>
              <w:t>pomalidomide</w:t>
            </w:r>
            <w:proofErr w:type="spellEnd"/>
            <w:r w:rsidRPr="00061F7F">
              <w:rPr>
                <w:rFonts w:ascii="Verdana" w:hAnsi="Verdana"/>
                <w:sz w:val="20"/>
                <w:szCs w:val="20"/>
                <w:lang w:val="nl-NL"/>
              </w:rPr>
              <w:t xml:space="preserve"> en dexamethason (</w:t>
            </w:r>
            <w:proofErr w:type="spellStart"/>
            <w:r w:rsidRPr="00061F7F">
              <w:rPr>
                <w:rFonts w:ascii="Verdana" w:hAnsi="Verdana"/>
                <w:sz w:val="20"/>
                <w:szCs w:val="20"/>
                <w:lang w:val="nl-NL"/>
              </w:rPr>
              <w:t>D-Pd</w:t>
            </w:r>
            <w:proofErr w:type="spellEnd"/>
            <w:r w:rsidRPr="00061F7F">
              <w:rPr>
                <w:rFonts w:ascii="Verdana" w:hAnsi="Verdana"/>
                <w:sz w:val="20"/>
                <w:szCs w:val="20"/>
                <w:lang w:val="nl-NL"/>
              </w:rPr>
              <w:t xml:space="preserve">). De data geven ook drie klinische open-label-studies weer waarin patiënten </w:t>
            </w:r>
            <w:r>
              <w:rPr>
                <w:rFonts w:ascii="Verdana" w:hAnsi="Verdana"/>
                <w:sz w:val="20"/>
                <w:szCs w:val="20"/>
                <w:lang w:val="nl-NL"/>
              </w:rPr>
              <w:t>Darzalex SC</w:t>
            </w:r>
            <w:r w:rsidRPr="00061F7F">
              <w:rPr>
                <w:rFonts w:ascii="Verdana" w:hAnsi="Verdana"/>
                <w:sz w:val="20"/>
                <w:szCs w:val="20"/>
                <w:lang w:val="nl-NL"/>
              </w:rPr>
              <w:t xml:space="preserve"> ofwel als monotherapie kregen (N=31, MMY1004 en MMY1008) en MMY2040 waarin patiënten </w:t>
            </w:r>
            <w:r>
              <w:rPr>
                <w:rFonts w:ascii="Verdana" w:hAnsi="Verdana"/>
                <w:sz w:val="20"/>
                <w:szCs w:val="20"/>
                <w:lang w:val="nl-NL"/>
              </w:rPr>
              <w:t>Darzalex SC</w:t>
            </w:r>
            <w:r w:rsidRPr="00061F7F">
              <w:rPr>
                <w:rFonts w:ascii="Verdana" w:hAnsi="Verdana"/>
                <w:sz w:val="20"/>
                <w:szCs w:val="20"/>
                <w:lang w:val="nl-NL"/>
              </w:rPr>
              <w:t xml:space="preserve"> kregen in combinatie met </w:t>
            </w:r>
            <w:proofErr w:type="spellStart"/>
            <w:r w:rsidRPr="00061F7F">
              <w:rPr>
                <w:rFonts w:ascii="Verdana" w:hAnsi="Verdana"/>
                <w:sz w:val="20"/>
                <w:szCs w:val="20"/>
                <w:lang w:val="nl-NL"/>
              </w:rPr>
              <w:t>bortezomib</w:t>
            </w:r>
            <w:proofErr w:type="spellEnd"/>
            <w:r w:rsidRPr="00061F7F">
              <w:rPr>
                <w:rFonts w:ascii="Verdana" w:hAnsi="Verdana"/>
                <w:sz w:val="20"/>
                <w:szCs w:val="20"/>
                <w:lang w:val="nl-NL"/>
              </w:rPr>
              <w:t xml:space="preserve">, </w:t>
            </w:r>
            <w:proofErr w:type="spellStart"/>
            <w:r w:rsidRPr="00061F7F">
              <w:rPr>
                <w:rFonts w:ascii="Verdana" w:hAnsi="Verdana"/>
                <w:sz w:val="20"/>
                <w:szCs w:val="20"/>
                <w:lang w:val="nl-NL"/>
              </w:rPr>
              <w:t>melfalan</w:t>
            </w:r>
            <w:proofErr w:type="spellEnd"/>
            <w:r w:rsidRPr="00061F7F">
              <w:rPr>
                <w:rFonts w:ascii="Verdana" w:hAnsi="Verdana"/>
                <w:sz w:val="20"/>
                <w:szCs w:val="20"/>
                <w:lang w:val="nl-NL"/>
              </w:rPr>
              <w:t xml:space="preserve"> en prednison (D-VMP, n=67), met </w:t>
            </w:r>
            <w:proofErr w:type="spellStart"/>
            <w:r w:rsidRPr="00061F7F">
              <w:rPr>
                <w:rFonts w:ascii="Verdana" w:hAnsi="Verdana"/>
                <w:sz w:val="20"/>
                <w:szCs w:val="20"/>
                <w:lang w:val="nl-NL"/>
              </w:rPr>
              <w:t>lenalidomide</w:t>
            </w:r>
            <w:proofErr w:type="spellEnd"/>
            <w:r w:rsidRPr="00061F7F">
              <w:rPr>
                <w:rFonts w:ascii="Verdana" w:hAnsi="Verdana"/>
                <w:sz w:val="20"/>
                <w:szCs w:val="20"/>
                <w:lang w:val="nl-NL"/>
              </w:rPr>
              <w:t xml:space="preserve"> en dexamethason (D-</w:t>
            </w:r>
            <w:proofErr w:type="spellStart"/>
            <w:r w:rsidRPr="00061F7F">
              <w:rPr>
                <w:rFonts w:ascii="Verdana" w:hAnsi="Verdana"/>
                <w:sz w:val="20"/>
                <w:szCs w:val="20"/>
                <w:lang w:val="nl-NL"/>
              </w:rPr>
              <w:t>Rd</w:t>
            </w:r>
            <w:proofErr w:type="spellEnd"/>
            <w:r w:rsidRPr="00061F7F">
              <w:rPr>
                <w:rFonts w:ascii="Verdana" w:hAnsi="Verdana"/>
                <w:sz w:val="20"/>
                <w:szCs w:val="20"/>
                <w:lang w:val="nl-NL"/>
              </w:rPr>
              <w:t xml:space="preserve">, n=65) of met </w:t>
            </w:r>
            <w:proofErr w:type="spellStart"/>
            <w:r w:rsidRPr="00061F7F">
              <w:rPr>
                <w:rFonts w:ascii="Verdana" w:hAnsi="Verdana"/>
                <w:sz w:val="20"/>
                <w:szCs w:val="20"/>
                <w:lang w:val="nl-NL"/>
              </w:rPr>
              <w:t>bortezomib</w:t>
            </w:r>
            <w:proofErr w:type="spellEnd"/>
            <w:r w:rsidRPr="00061F7F">
              <w:rPr>
                <w:rFonts w:ascii="Verdana" w:hAnsi="Verdana"/>
                <w:sz w:val="20"/>
                <w:szCs w:val="20"/>
                <w:lang w:val="nl-NL"/>
              </w:rPr>
              <w:t xml:space="preserve">, </w:t>
            </w:r>
            <w:proofErr w:type="spellStart"/>
            <w:r w:rsidRPr="00061F7F">
              <w:rPr>
                <w:rFonts w:ascii="Verdana" w:hAnsi="Verdana"/>
                <w:sz w:val="20"/>
                <w:szCs w:val="20"/>
                <w:lang w:val="nl-NL"/>
              </w:rPr>
              <w:t>lenalidomide</w:t>
            </w:r>
            <w:proofErr w:type="spellEnd"/>
            <w:r w:rsidRPr="00061F7F">
              <w:rPr>
                <w:rFonts w:ascii="Verdana" w:hAnsi="Verdana"/>
                <w:sz w:val="20"/>
                <w:szCs w:val="20"/>
                <w:lang w:val="nl-NL"/>
              </w:rPr>
              <w:t xml:space="preserve"> en dexamethason (D-</w:t>
            </w:r>
            <w:proofErr w:type="spellStart"/>
            <w:r w:rsidRPr="00061F7F">
              <w:rPr>
                <w:rFonts w:ascii="Verdana" w:hAnsi="Verdana"/>
                <w:sz w:val="20"/>
                <w:szCs w:val="20"/>
                <w:lang w:val="nl-NL"/>
              </w:rPr>
              <w:t>VRd</w:t>
            </w:r>
            <w:proofErr w:type="spellEnd"/>
            <w:r w:rsidRPr="00061F7F">
              <w:rPr>
                <w:rFonts w:ascii="Verdana" w:hAnsi="Verdana"/>
                <w:sz w:val="20"/>
                <w:szCs w:val="20"/>
                <w:lang w:val="nl-NL"/>
              </w:rPr>
              <w:t xml:space="preserve">, n=67). Bovendien zijn de gegevens een weergave van de blootstelling bij 193 patiënten met nieuw gediagnosticeerde AL-amyloïdose uit een fase III-studie met actieve controle (AMY3001) bij patiënten die </w:t>
            </w:r>
            <w:r>
              <w:rPr>
                <w:rFonts w:ascii="Verdana" w:hAnsi="Verdana"/>
                <w:sz w:val="20"/>
                <w:szCs w:val="20"/>
                <w:lang w:val="nl-NL"/>
              </w:rPr>
              <w:t>Darzalex SC</w:t>
            </w:r>
            <w:r w:rsidRPr="00061F7F">
              <w:rPr>
                <w:rFonts w:ascii="Verdana" w:hAnsi="Verdana"/>
                <w:sz w:val="20"/>
                <w:szCs w:val="20"/>
                <w:lang w:val="nl-NL"/>
              </w:rPr>
              <w:t xml:space="preserve"> kregen in combinatie met </w:t>
            </w:r>
            <w:proofErr w:type="spellStart"/>
            <w:r w:rsidRPr="00061F7F">
              <w:rPr>
                <w:rFonts w:ascii="Verdana" w:hAnsi="Verdana"/>
                <w:sz w:val="20"/>
                <w:szCs w:val="20"/>
                <w:lang w:val="nl-NL"/>
              </w:rPr>
              <w:t>bortezomib</w:t>
            </w:r>
            <w:proofErr w:type="spellEnd"/>
            <w:r w:rsidRPr="00061F7F">
              <w:rPr>
                <w:rFonts w:ascii="Verdana" w:hAnsi="Verdana"/>
                <w:sz w:val="20"/>
                <w:szCs w:val="20"/>
                <w:lang w:val="nl-NL"/>
              </w:rPr>
              <w:t>, cyclofosfamide en dexamethason (D-</w:t>
            </w:r>
            <w:proofErr w:type="spellStart"/>
            <w:r w:rsidRPr="00061F7F">
              <w:rPr>
                <w:rFonts w:ascii="Verdana" w:hAnsi="Verdana"/>
                <w:sz w:val="20"/>
                <w:szCs w:val="20"/>
                <w:lang w:val="nl-NL"/>
              </w:rPr>
              <w:t>VCd</w:t>
            </w:r>
            <w:proofErr w:type="spellEnd"/>
            <w:r w:rsidRPr="00061F7F">
              <w:rPr>
                <w:rFonts w:ascii="Verdana" w:hAnsi="Verdana"/>
                <w:sz w:val="20"/>
                <w:szCs w:val="20"/>
                <w:lang w:val="nl-NL"/>
              </w:rPr>
              <w:t xml:space="preserve">). </w:t>
            </w:r>
          </w:p>
          <w:p w14:paraId="285C225B" w14:textId="77777777" w:rsidR="00061F7F" w:rsidRDefault="00061F7F" w:rsidP="00061F7F">
            <w:pPr>
              <w:pStyle w:val="Default"/>
              <w:rPr>
                <w:rFonts w:ascii="Verdana" w:hAnsi="Verdana"/>
                <w:sz w:val="20"/>
                <w:szCs w:val="20"/>
                <w:lang w:val="nl-NL"/>
              </w:rPr>
            </w:pPr>
          </w:p>
          <w:p w14:paraId="21D9E806" w14:textId="626DC645" w:rsidR="00061F7F" w:rsidRPr="00061F7F" w:rsidRDefault="00061F7F" w:rsidP="00061F7F">
            <w:pPr>
              <w:pStyle w:val="Default"/>
              <w:rPr>
                <w:rFonts w:ascii="Verdana" w:hAnsi="Verdana"/>
                <w:sz w:val="20"/>
                <w:szCs w:val="20"/>
                <w:lang w:val="nl-NL"/>
              </w:rPr>
            </w:pPr>
            <w:r w:rsidRPr="00061F7F">
              <w:rPr>
                <w:rFonts w:ascii="Verdana" w:hAnsi="Verdana"/>
                <w:sz w:val="20"/>
                <w:szCs w:val="20"/>
                <w:lang w:val="nl-NL"/>
              </w:rPr>
              <w:t xml:space="preserve">De gegevens over de veiligheid reflecteren tevens blootstelling aan intraveneus daratumumab (16 mg/kg) bij 2.324 patiënten met multipel myeloom, waaronder 1.910 patiënten die intraveneus daratumumab kregen in combinatie met achtergrondbehandelingen en 414 patiënten die intraveneus daratumumab ontvingen als monotherapie. </w:t>
            </w:r>
          </w:p>
          <w:p w14:paraId="42F9D127" w14:textId="3FA7041F" w:rsidR="058689AF" w:rsidRPr="00061F7F" w:rsidRDefault="00061F7F" w:rsidP="00061F7F">
            <w:pPr>
              <w:pStyle w:val="Default"/>
              <w:rPr>
                <w:rFonts w:ascii="Verdana" w:eastAsia="Verdana" w:hAnsi="Verdana" w:cs="Verdana"/>
                <w:sz w:val="20"/>
                <w:szCs w:val="20"/>
                <w:lang w:val="nl-NL"/>
              </w:rPr>
            </w:pPr>
            <w:r w:rsidRPr="00644D77">
              <w:rPr>
                <w:rFonts w:ascii="Verdana" w:hAnsi="Verdana"/>
                <w:sz w:val="20"/>
                <w:szCs w:val="20"/>
                <w:lang w:val="nl-NL"/>
              </w:rPr>
              <w:t xml:space="preserve">Postmarketingbijwerkingen zijn ook inbegrepen. </w:t>
            </w:r>
          </w:p>
          <w:p w14:paraId="3605AD3E" w14:textId="7B53A382" w:rsidR="00D510E3" w:rsidRDefault="00D510E3" w:rsidP="058689AF">
            <w:pPr>
              <w:pStyle w:val="Default"/>
              <w:rPr>
                <w:rFonts w:ascii="Verdana" w:eastAsia="Verdana" w:hAnsi="Verdana" w:cs="Verdana"/>
                <w:b/>
                <w:bCs/>
                <w:sz w:val="20"/>
                <w:szCs w:val="20"/>
                <w:lang w:val="nl-NL"/>
              </w:rPr>
            </w:pPr>
          </w:p>
          <w:p w14:paraId="543D7E2E" w14:textId="77777777" w:rsidR="00A662F9" w:rsidRDefault="00A662F9" w:rsidP="058689AF">
            <w:pPr>
              <w:pStyle w:val="Default"/>
              <w:rPr>
                <w:rFonts w:ascii="Verdana" w:eastAsia="Verdana" w:hAnsi="Verdana" w:cs="Verdana"/>
                <w:b/>
                <w:bCs/>
                <w:sz w:val="20"/>
                <w:szCs w:val="20"/>
                <w:lang w:val="nl-NL"/>
              </w:rPr>
            </w:pPr>
          </w:p>
          <w:p w14:paraId="3BB258EC" w14:textId="3E0CCB50" w:rsidR="00A662F9" w:rsidRPr="00A27B54" w:rsidRDefault="008442AE" w:rsidP="008442AE">
            <w:pPr>
              <w:pStyle w:val="Default"/>
              <w:rPr>
                <w:rFonts w:ascii="Verdana" w:hAnsi="Verdana"/>
                <w:sz w:val="20"/>
                <w:szCs w:val="20"/>
                <w:lang w:val="nl-NL"/>
              </w:rPr>
            </w:pPr>
            <w:r w:rsidRPr="00A57F00">
              <w:rPr>
                <w:rFonts w:ascii="Verdana" w:eastAsia="Verdana" w:hAnsi="Verdana" w:cs="Verdana"/>
                <w:b/>
                <w:bCs/>
                <w:sz w:val="20"/>
                <w:szCs w:val="20"/>
                <w:lang w:val="nl-NL"/>
              </w:rPr>
              <w:lastRenderedPageBreak/>
              <w:t xml:space="preserve">Tabel </w:t>
            </w:r>
            <w:r w:rsidR="00644D77">
              <w:rPr>
                <w:rFonts w:ascii="Verdana" w:eastAsia="Verdana" w:hAnsi="Verdana" w:cs="Verdana"/>
                <w:b/>
                <w:bCs/>
                <w:sz w:val="20"/>
                <w:szCs w:val="20"/>
                <w:lang w:val="nl-NL"/>
              </w:rPr>
              <w:t>2</w:t>
            </w:r>
            <w:r w:rsidRPr="00A57F00">
              <w:rPr>
                <w:rFonts w:ascii="Verdana" w:eastAsia="Verdana" w:hAnsi="Verdana" w:cs="Verdana"/>
                <w:b/>
                <w:bCs/>
                <w:sz w:val="20"/>
                <w:szCs w:val="20"/>
                <w:lang w:val="nl-NL"/>
              </w:rPr>
              <w:t xml:space="preserve">: </w:t>
            </w:r>
            <w:r w:rsidR="006E138F" w:rsidRPr="006E138F">
              <w:rPr>
                <w:rFonts w:ascii="Verdana" w:eastAsia="Verdana" w:hAnsi="Verdana" w:cs="Verdana"/>
                <w:b/>
                <w:bCs/>
                <w:color w:val="000000" w:themeColor="text1"/>
                <w:sz w:val="20"/>
                <w:szCs w:val="20"/>
                <w:lang w:val="nl"/>
              </w:rPr>
              <w:t>Bijwerkingen bij patiënten met multipel myeloom en AL-amyloïdose behandeld met intraveneus daratumumab of subcutaan daratumumab</w:t>
            </w:r>
            <w:r w:rsidR="00A662F9">
              <w:rPr>
                <w:rFonts w:ascii="Verdana" w:hAnsi="Verdana"/>
                <w:noProof/>
                <w:sz w:val="20"/>
                <w:szCs w:val="20"/>
                <w:lang w:val="nl-NL"/>
              </w:rPr>
              <w:drawing>
                <wp:inline distT="0" distB="0" distL="0" distR="0" wp14:anchorId="5E1FB9EE" wp14:editId="242566F4">
                  <wp:extent cx="4321385" cy="7812633"/>
                  <wp:effectExtent l="0" t="0" r="3175" b="0"/>
                  <wp:docPr id="6" name="Picture 6" descr="A white sheet with black lines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white sheet with black lines and text&#10;&#10;Description automatically generated"/>
                          <pic:cNvPicPr/>
                        </pic:nvPicPr>
                        <pic:blipFill rotWithShape="1">
                          <a:blip r:embed="rId12" cstate="print">
                            <a:extLst>
                              <a:ext uri="{28A0092B-C50C-407E-A947-70E740481C1C}">
                                <a14:useLocalDpi xmlns:a14="http://schemas.microsoft.com/office/drawing/2010/main" val="0"/>
                              </a:ext>
                            </a:extLst>
                          </a:blip>
                          <a:srcRect b="92"/>
                          <a:stretch/>
                        </pic:blipFill>
                        <pic:spPr bwMode="auto">
                          <a:xfrm>
                            <a:off x="0" y="0"/>
                            <a:ext cx="4331332" cy="7830617"/>
                          </a:xfrm>
                          <a:prstGeom prst="rect">
                            <a:avLst/>
                          </a:prstGeom>
                          <a:ln>
                            <a:noFill/>
                          </a:ln>
                          <a:extLst>
                            <a:ext uri="{53640926-AAD7-44D8-BBD7-CCE9431645EC}">
                              <a14:shadowObscured xmlns:a14="http://schemas.microsoft.com/office/drawing/2010/main"/>
                            </a:ext>
                          </a:extLst>
                        </pic:spPr>
                      </pic:pic>
                    </a:graphicData>
                  </a:graphic>
                </wp:inline>
              </w:drawing>
            </w:r>
          </w:p>
          <w:p w14:paraId="486F0428" w14:textId="58FFC86F" w:rsidR="008442AE" w:rsidRPr="00644D77" w:rsidRDefault="008442AE" w:rsidP="008442AE">
            <w:pPr>
              <w:pStyle w:val="Default"/>
              <w:rPr>
                <w:rFonts w:ascii="Verdana" w:hAnsi="Verdana"/>
                <w:sz w:val="20"/>
                <w:szCs w:val="20"/>
                <w:lang w:val="nl-NL"/>
              </w:rPr>
            </w:pPr>
          </w:p>
          <w:p w14:paraId="5A13A7F9" w14:textId="4C090B4B" w:rsidR="6B23D4A8" w:rsidRPr="00A57F00" w:rsidRDefault="6B23D4A8" w:rsidP="058689AF">
            <w:pPr>
              <w:rPr>
                <w:rFonts w:ascii="Verdana" w:eastAsia="Verdana" w:hAnsi="Verdana" w:cs="Verdana"/>
                <w:sz w:val="20"/>
                <w:szCs w:val="20"/>
                <w:u w:val="single"/>
                <w:lang w:val="nl"/>
              </w:rPr>
            </w:pPr>
            <w:r w:rsidRPr="00A57F00">
              <w:rPr>
                <w:rFonts w:ascii="Verdana" w:eastAsia="Verdana" w:hAnsi="Verdana" w:cs="Verdana"/>
                <w:sz w:val="20"/>
                <w:szCs w:val="20"/>
                <w:u w:val="single"/>
                <w:lang w:val="nl"/>
              </w:rPr>
              <w:lastRenderedPageBreak/>
              <w:t>Beschrijving van geselecteerde bijwerkingen</w:t>
            </w:r>
          </w:p>
          <w:p w14:paraId="4E2E5A30" w14:textId="1357C119" w:rsidR="6B23D4A8" w:rsidRPr="00A57F00" w:rsidRDefault="6B23D4A8" w:rsidP="313298E9">
            <w:pPr>
              <w:rPr>
                <w:rFonts w:ascii="Verdana" w:eastAsia="Verdana" w:hAnsi="Verdana" w:cs="Verdana"/>
                <w:i/>
                <w:iCs/>
                <w:sz w:val="20"/>
                <w:szCs w:val="20"/>
                <w:lang w:val="nl"/>
              </w:rPr>
            </w:pPr>
          </w:p>
          <w:p w14:paraId="3316105E" w14:textId="2BE4AB35" w:rsidR="6B23D4A8" w:rsidRPr="00A57F00" w:rsidRDefault="6B23D4A8" w:rsidP="313298E9">
            <w:pPr>
              <w:rPr>
                <w:rFonts w:ascii="Verdana" w:eastAsia="Verdana" w:hAnsi="Verdana" w:cs="Verdana"/>
                <w:i/>
                <w:iCs/>
                <w:sz w:val="20"/>
                <w:szCs w:val="20"/>
                <w:lang w:val="nl"/>
              </w:rPr>
            </w:pPr>
            <w:r w:rsidRPr="00A57F00">
              <w:rPr>
                <w:rFonts w:ascii="Verdana" w:eastAsia="Verdana" w:hAnsi="Verdana" w:cs="Verdana"/>
                <w:i/>
                <w:iCs/>
                <w:sz w:val="20"/>
                <w:szCs w:val="20"/>
                <w:lang w:val="nl"/>
              </w:rPr>
              <w:t>Infusiegerelateerde reacties (IRR’s)</w:t>
            </w:r>
          </w:p>
          <w:p w14:paraId="30F1EE92" w14:textId="2F957C3E" w:rsidR="001B6B88" w:rsidRPr="00644D77" w:rsidRDefault="001B6B88" w:rsidP="001B6B88">
            <w:pPr>
              <w:rPr>
                <w:rFonts w:ascii="Verdana" w:hAnsi="Verdana"/>
                <w:sz w:val="20"/>
                <w:szCs w:val="20"/>
                <w:lang w:val="nl-BE"/>
              </w:rPr>
            </w:pPr>
            <w:r w:rsidRPr="00A57F00">
              <w:rPr>
                <w:rFonts w:ascii="Verdana" w:hAnsi="Verdana"/>
                <w:sz w:val="20"/>
                <w:szCs w:val="20"/>
                <w:lang w:val="nl-BE"/>
              </w:rPr>
              <w:t xml:space="preserve">In klinische studies (monotherapie en combinatietherapie; N=832) met </w:t>
            </w:r>
            <w:r w:rsidR="005E3CA5" w:rsidRPr="00A27B54">
              <w:rPr>
                <w:rFonts w:ascii="Verdana" w:eastAsia="Verdana" w:hAnsi="Verdana" w:cs="Verdana"/>
                <w:sz w:val="20"/>
                <w:szCs w:val="20"/>
                <w:lang w:val="nl"/>
              </w:rPr>
              <w:t xml:space="preserve">Darzalex SC </w:t>
            </w:r>
            <w:r w:rsidRPr="00A57F00">
              <w:rPr>
                <w:rFonts w:ascii="Verdana" w:hAnsi="Verdana"/>
                <w:sz w:val="20"/>
                <w:szCs w:val="20"/>
                <w:lang w:val="nl-BE"/>
              </w:rPr>
              <w:t xml:space="preserve">bedroeg de incidentie van de IRR’s van alle graden 8,2% bij de eerste injectie met </w:t>
            </w:r>
            <w:r w:rsidR="005E3CA5" w:rsidRPr="00A27B54">
              <w:rPr>
                <w:rFonts w:ascii="Verdana" w:eastAsia="Verdana" w:hAnsi="Verdana" w:cs="Verdana"/>
                <w:sz w:val="20"/>
                <w:szCs w:val="20"/>
                <w:lang w:val="nl"/>
              </w:rPr>
              <w:t>Darzalex SC</w:t>
            </w:r>
            <w:r w:rsidRPr="00A57F00">
              <w:rPr>
                <w:rFonts w:ascii="Verdana" w:hAnsi="Verdana"/>
                <w:sz w:val="20"/>
                <w:szCs w:val="20"/>
                <w:lang w:val="nl-BE"/>
              </w:rPr>
              <w:t xml:space="preserve"> (1 800 mg, week 1), 0,4% bij de </w:t>
            </w:r>
            <w:r w:rsidRPr="00644D77">
              <w:rPr>
                <w:rFonts w:ascii="Verdana" w:hAnsi="Verdana"/>
                <w:sz w:val="20"/>
                <w:szCs w:val="20"/>
                <w:lang w:val="nl-BE"/>
              </w:rPr>
              <w:t>injectie in week 2, en 1,1% bij de volgende injecties. Graad 3-IRR’s werden gezien bij 0,8% van de patiënten. Er waren geen patiënten met graad 4</w:t>
            </w:r>
            <w:r w:rsidRPr="00644D77">
              <w:rPr>
                <w:rFonts w:ascii="Verdana" w:hAnsi="Verdana"/>
                <w:sz w:val="20"/>
                <w:szCs w:val="20"/>
                <w:lang w:val="nl-BE"/>
              </w:rPr>
              <w:noBreakHyphen/>
              <w:t>IRR’s.</w:t>
            </w:r>
          </w:p>
          <w:p w14:paraId="6D4D3190" w14:textId="1B6FBFAD" w:rsidR="6B23D4A8" w:rsidRPr="00644D77" w:rsidRDefault="6B23D4A8" w:rsidP="058689AF">
            <w:pPr>
              <w:rPr>
                <w:rFonts w:ascii="Verdana" w:eastAsia="Verdana" w:hAnsi="Verdana" w:cs="Verdana"/>
                <w:sz w:val="20"/>
                <w:szCs w:val="20"/>
                <w:lang w:val="nl"/>
              </w:rPr>
            </w:pPr>
            <w:r w:rsidRPr="00644D77">
              <w:rPr>
                <w:rFonts w:ascii="Verdana" w:eastAsia="Verdana" w:hAnsi="Verdana" w:cs="Verdana"/>
                <w:sz w:val="20"/>
                <w:szCs w:val="20"/>
                <w:lang w:val="nl"/>
              </w:rPr>
              <w:t xml:space="preserve"> </w:t>
            </w:r>
          </w:p>
          <w:p w14:paraId="6654EB65" w14:textId="2BF994DE" w:rsidR="00644D77" w:rsidRPr="00644D77" w:rsidRDefault="00644D77" w:rsidP="058689AF">
            <w:pPr>
              <w:rPr>
                <w:rFonts w:ascii="Verdana" w:hAnsi="Verdana"/>
                <w:sz w:val="20"/>
                <w:szCs w:val="20"/>
              </w:rPr>
            </w:pPr>
            <w:r w:rsidRPr="00644D77">
              <w:rPr>
                <w:rFonts w:ascii="Verdana" w:hAnsi="Verdana"/>
                <w:sz w:val="20"/>
                <w:szCs w:val="20"/>
              </w:rPr>
              <w:t xml:space="preserve">Symptomen en klachten van IRR’s zijn onder andere respiratoire symptomen, zoals neusverstopping, hoesten, irritatie van de keel, allergische rinitis, piepende ademhaling en ook pyrexie, pijn op de borst, pruritus, koude rillingen, braken, nausea, wazig zien en hypotensie. Er traden ook ernstige reacties op, waaronder bronchospasme, hypoxie, dyspneu, hypertensie, tachycardie en bijwerkingen met betrekking tot het oog (waaronder </w:t>
            </w:r>
            <w:proofErr w:type="spellStart"/>
            <w:r w:rsidRPr="00644D77">
              <w:rPr>
                <w:rFonts w:ascii="Verdana" w:hAnsi="Verdana"/>
                <w:sz w:val="20"/>
                <w:szCs w:val="20"/>
              </w:rPr>
              <w:t>choroïd</w:t>
            </w:r>
            <w:proofErr w:type="spellEnd"/>
            <w:r w:rsidRPr="00644D77">
              <w:rPr>
                <w:rFonts w:ascii="Verdana" w:hAnsi="Verdana"/>
                <w:sz w:val="20"/>
                <w:szCs w:val="20"/>
              </w:rPr>
              <w:t xml:space="preserve"> vochtophoping, acute myopie en acuut gesloten-hoekglaucoom) (zie </w:t>
            </w:r>
            <w:proofErr w:type="spellStart"/>
            <w:r>
              <w:rPr>
                <w:rFonts w:ascii="Verdana" w:hAnsi="Verdana"/>
                <w:sz w:val="20"/>
                <w:szCs w:val="20"/>
              </w:rPr>
              <w:t>SmPC</w:t>
            </w:r>
            <w:proofErr w:type="spellEnd"/>
            <w:r>
              <w:rPr>
                <w:rFonts w:ascii="Verdana" w:hAnsi="Verdana"/>
                <w:sz w:val="20"/>
                <w:szCs w:val="20"/>
              </w:rPr>
              <w:t xml:space="preserve"> voor meer details</w:t>
            </w:r>
            <w:r w:rsidRPr="00644D77">
              <w:rPr>
                <w:rFonts w:ascii="Verdana" w:hAnsi="Verdana"/>
                <w:sz w:val="20"/>
                <w:szCs w:val="20"/>
                <w:vertAlign w:val="superscript"/>
              </w:rPr>
              <w:t>1</w:t>
            </w:r>
            <w:r w:rsidRPr="00644D77">
              <w:rPr>
                <w:rFonts w:ascii="Verdana" w:hAnsi="Verdana"/>
                <w:sz w:val="20"/>
                <w:szCs w:val="20"/>
              </w:rPr>
              <w:t xml:space="preserve">). </w:t>
            </w:r>
          </w:p>
          <w:p w14:paraId="45671700" w14:textId="3EB95093" w:rsidR="6B23D4A8" w:rsidRPr="00644D77" w:rsidRDefault="6B23D4A8" w:rsidP="058689AF">
            <w:pPr>
              <w:rPr>
                <w:rFonts w:ascii="Verdana" w:eastAsia="Verdana" w:hAnsi="Verdana" w:cs="Verdana"/>
                <w:sz w:val="20"/>
                <w:szCs w:val="20"/>
                <w:lang w:val="nl"/>
              </w:rPr>
            </w:pPr>
            <w:r w:rsidRPr="00644D77">
              <w:rPr>
                <w:rFonts w:ascii="Verdana" w:eastAsia="Verdana" w:hAnsi="Verdana" w:cs="Verdana"/>
                <w:sz w:val="20"/>
                <w:szCs w:val="20"/>
                <w:lang w:val="nl"/>
              </w:rPr>
              <w:t xml:space="preserve"> </w:t>
            </w:r>
          </w:p>
          <w:p w14:paraId="2DF3362F" w14:textId="307D74E2" w:rsidR="6B23D4A8" w:rsidRPr="00644D77" w:rsidRDefault="6B23D4A8" w:rsidP="058689AF">
            <w:pPr>
              <w:rPr>
                <w:rFonts w:ascii="Verdana" w:eastAsia="Verdana" w:hAnsi="Verdana" w:cs="Verdana"/>
                <w:i/>
                <w:iCs/>
                <w:sz w:val="20"/>
                <w:szCs w:val="20"/>
                <w:lang w:val="nl"/>
              </w:rPr>
            </w:pPr>
            <w:r w:rsidRPr="00644D77">
              <w:rPr>
                <w:rFonts w:ascii="Verdana" w:eastAsia="Verdana" w:hAnsi="Verdana" w:cs="Verdana"/>
                <w:i/>
                <w:iCs/>
                <w:sz w:val="20"/>
                <w:szCs w:val="20"/>
                <w:lang w:val="nl"/>
              </w:rPr>
              <w:t>Injectieplaatsreacties (ISR’s)</w:t>
            </w:r>
          </w:p>
          <w:p w14:paraId="165A1416" w14:textId="74C7BB3A" w:rsidR="00CE3739" w:rsidRPr="00A57F00" w:rsidRDefault="00CE3739" w:rsidP="00CE3739">
            <w:pPr>
              <w:rPr>
                <w:rFonts w:ascii="Verdana" w:hAnsi="Verdana"/>
                <w:sz w:val="20"/>
                <w:szCs w:val="20"/>
                <w:lang w:val="nl-BE"/>
              </w:rPr>
            </w:pPr>
            <w:r w:rsidRPr="00644D77">
              <w:rPr>
                <w:rFonts w:ascii="Verdana" w:hAnsi="Verdana"/>
                <w:sz w:val="20"/>
                <w:szCs w:val="20"/>
                <w:lang w:val="nl-BE"/>
              </w:rPr>
              <w:t>In klinische</w:t>
            </w:r>
            <w:r w:rsidRPr="00A57F00">
              <w:rPr>
                <w:rFonts w:ascii="Verdana" w:hAnsi="Verdana"/>
                <w:sz w:val="20"/>
                <w:szCs w:val="20"/>
                <w:lang w:val="nl-BE"/>
              </w:rPr>
              <w:t xml:space="preserve"> studies (N=832) met </w:t>
            </w:r>
            <w:r w:rsidR="005E3CA5" w:rsidRPr="00A27B54">
              <w:rPr>
                <w:rFonts w:ascii="Verdana" w:eastAsia="Verdana" w:hAnsi="Verdana" w:cs="Verdana"/>
                <w:sz w:val="20"/>
                <w:szCs w:val="20"/>
                <w:lang w:val="nl"/>
              </w:rPr>
              <w:t xml:space="preserve">Darzalex SC </w:t>
            </w:r>
            <w:r w:rsidRPr="00A57F00">
              <w:rPr>
                <w:rFonts w:ascii="Verdana" w:hAnsi="Verdana"/>
                <w:sz w:val="20"/>
                <w:szCs w:val="20"/>
                <w:lang w:val="nl-BE"/>
              </w:rPr>
              <w:t xml:space="preserve">bedroeg de incidentie van de </w:t>
            </w:r>
            <w:r w:rsidRPr="00A57F00">
              <w:rPr>
                <w:rFonts w:ascii="Verdana" w:hAnsi="Verdana"/>
                <w:iCs/>
                <w:sz w:val="20"/>
                <w:szCs w:val="20"/>
                <w:lang w:val="nl-BE" w:eastAsia="en-GB"/>
              </w:rPr>
              <w:t>injectieplaatsreacties</w:t>
            </w:r>
            <w:r w:rsidRPr="00A57F00">
              <w:rPr>
                <w:rFonts w:ascii="Verdana" w:hAnsi="Verdana"/>
                <w:i/>
                <w:sz w:val="20"/>
                <w:szCs w:val="20"/>
                <w:lang w:val="nl-BE" w:eastAsia="en-GB"/>
              </w:rPr>
              <w:t xml:space="preserve"> </w:t>
            </w:r>
            <w:r w:rsidRPr="00A57F00">
              <w:rPr>
                <w:rFonts w:ascii="Verdana" w:hAnsi="Verdana"/>
                <w:sz w:val="20"/>
                <w:szCs w:val="20"/>
                <w:lang w:val="nl-BE"/>
              </w:rPr>
              <w:t>van alle graden 7,7%. Er waren geen ISR’s van graad 3 of 4. De meest voorkomende ISR op de injectieplaats (&gt;1%) was erytheem.</w:t>
            </w:r>
          </w:p>
          <w:p w14:paraId="25893A1A" w14:textId="3B3B8072" w:rsidR="6B23D4A8" w:rsidRPr="00A27B54" w:rsidRDefault="6B23D4A8" w:rsidP="058689AF">
            <w:pPr>
              <w:rPr>
                <w:rFonts w:ascii="Verdana" w:eastAsia="Verdana" w:hAnsi="Verdana" w:cs="Verdana"/>
                <w:sz w:val="20"/>
                <w:szCs w:val="20"/>
                <w:lang w:val="nl"/>
              </w:rPr>
            </w:pPr>
            <w:r w:rsidRPr="00A27B54">
              <w:rPr>
                <w:rFonts w:ascii="Verdana" w:eastAsia="Verdana" w:hAnsi="Verdana" w:cs="Verdana"/>
                <w:sz w:val="20"/>
                <w:szCs w:val="20"/>
                <w:lang w:val="nl"/>
              </w:rPr>
              <w:t xml:space="preserve"> </w:t>
            </w:r>
          </w:p>
          <w:p w14:paraId="36234AB7" w14:textId="66B85349" w:rsidR="6B23D4A8" w:rsidRPr="00A57F00" w:rsidRDefault="6B23D4A8" w:rsidP="058689AF">
            <w:pPr>
              <w:rPr>
                <w:rFonts w:ascii="Verdana" w:eastAsia="Verdana" w:hAnsi="Verdana" w:cs="Verdana"/>
                <w:i/>
                <w:iCs/>
                <w:sz w:val="20"/>
                <w:szCs w:val="20"/>
                <w:lang w:val="nl"/>
              </w:rPr>
            </w:pPr>
            <w:r w:rsidRPr="00A57F00">
              <w:rPr>
                <w:rFonts w:ascii="Verdana" w:eastAsia="Verdana" w:hAnsi="Verdana" w:cs="Verdana"/>
                <w:i/>
                <w:iCs/>
                <w:sz w:val="20"/>
                <w:szCs w:val="20"/>
                <w:lang w:val="nl"/>
              </w:rPr>
              <w:t>Infecties</w:t>
            </w:r>
          </w:p>
          <w:p w14:paraId="786D1B76" w14:textId="6C8B360A" w:rsidR="058689AF" w:rsidRDefault="00410E78" w:rsidP="058689AF">
            <w:pPr>
              <w:rPr>
                <w:rFonts w:ascii="Verdana" w:hAnsi="Verdana"/>
                <w:sz w:val="20"/>
                <w:szCs w:val="20"/>
                <w:lang w:val="nl-BE"/>
              </w:rPr>
            </w:pPr>
            <w:r w:rsidRPr="00A57F00">
              <w:rPr>
                <w:rFonts w:ascii="Verdana" w:hAnsi="Verdana"/>
                <w:sz w:val="20"/>
                <w:szCs w:val="20"/>
                <w:lang w:val="nl-BE"/>
              </w:rPr>
              <w:t xml:space="preserve">Bij patiënten met multipel myeloom die daratumumab als monotherapie ontvingen, was de totale incidentie van infecties vergelijkbaar bij de groepen met </w:t>
            </w:r>
            <w:r w:rsidR="005E3CA5" w:rsidRPr="00A27B54">
              <w:rPr>
                <w:rFonts w:ascii="Verdana" w:eastAsia="Verdana" w:hAnsi="Verdana" w:cs="Verdana"/>
                <w:sz w:val="20"/>
                <w:szCs w:val="20"/>
                <w:lang w:val="nl"/>
              </w:rPr>
              <w:t xml:space="preserve">Darzalex SC </w:t>
            </w:r>
            <w:r w:rsidRPr="00A57F00">
              <w:rPr>
                <w:rFonts w:ascii="Verdana" w:hAnsi="Verdana"/>
                <w:sz w:val="20"/>
                <w:szCs w:val="20"/>
                <w:lang w:val="nl-BE"/>
              </w:rPr>
              <w:t xml:space="preserve">(52,9%) en intraveneuze formulering (50,0%). Graad 3- of graad 4-infecties kwamen eveneens in vergelijkbare frequenties voor bij </w:t>
            </w:r>
            <w:r w:rsidR="005E3CA5" w:rsidRPr="00A27B54">
              <w:rPr>
                <w:rFonts w:ascii="Verdana" w:eastAsia="Verdana" w:hAnsi="Verdana" w:cs="Verdana"/>
                <w:sz w:val="20"/>
                <w:szCs w:val="20"/>
                <w:lang w:val="nl"/>
              </w:rPr>
              <w:t>Darzalex SC</w:t>
            </w:r>
            <w:r w:rsidRPr="00A57F00">
              <w:rPr>
                <w:rFonts w:ascii="Verdana" w:hAnsi="Verdana"/>
                <w:sz w:val="20"/>
                <w:szCs w:val="20"/>
                <w:lang w:val="nl-BE"/>
              </w:rPr>
              <w:t xml:space="preserve"> (11,7%) en intraveneus daratumumab (14,3%). De meeste infecties waren behandelbaar en infecties leidden zelden tot stopzetten van de behandeling. Over alle studies samen was pneumonie de meest gemelde graad 3- of graad 4-infectie. In studies met een actieve controle kwam stoppen met de behandeling vanwege infecties voor bij 1-4% van de patiënten. Fatale infecties waren voornamelijk het gevolg van pneumonie </w:t>
            </w:r>
            <w:r w:rsidR="00644D77">
              <w:rPr>
                <w:rFonts w:ascii="Verdana" w:hAnsi="Verdana"/>
                <w:sz w:val="20"/>
                <w:szCs w:val="20"/>
                <w:lang w:val="nl-BE"/>
              </w:rPr>
              <w:t xml:space="preserve">en sepsis. </w:t>
            </w:r>
          </w:p>
          <w:p w14:paraId="33A5209C" w14:textId="77777777" w:rsidR="00644D77" w:rsidRPr="00A27B54" w:rsidRDefault="00644D77" w:rsidP="058689AF">
            <w:pPr>
              <w:rPr>
                <w:rFonts w:ascii="Verdana" w:eastAsia="Verdana" w:hAnsi="Verdana" w:cs="Verdana"/>
                <w:sz w:val="20"/>
                <w:szCs w:val="20"/>
                <w:highlight w:val="yellow"/>
                <w:lang w:val="nl"/>
              </w:rPr>
            </w:pPr>
          </w:p>
          <w:p w14:paraId="40664714"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 xml:space="preserve">Bij patiënten </w:t>
            </w:r>
            <w:r w:rsidRPr="00A57F00">
              <w:rPr>
                <w:rFonts w:ascii="Verdana" w:hAnsi="Verdana"/>
                <w:sz w:val="20"/>
                <w:szCs w:val="20"/>
                <w:lang w:val="nl-BE"/>
              </w:rPr>
              <w:t>met multipel myeloom</w:t>
            </w:r>
            <w:r w:rsidRPr="00A57F00">
              <w:rPr>
                <w:rFonts w:ascii="Verdana" w:hAnsi="Verdana"/>
                <w:sz w:val="20"/>
                <w:szCs w:val="20"/>
                <w:lang w:val="nl-BE" w:eastAsia="en-GB"/>
              </w:rPr>
              <w:t xml:space="preserve"> die werden behandeld met een intraveneuze daratumumab combinatietherapie werd het volgende gemeld:</w:t>
            </w:r>
          </w:p>
          <w:p w14:paraId="2EC195DF"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Graad 3- of 4-infecties:</w:t>
            </w:r>
          </w:p>
          <w:p w14:paraId="539F4A0D"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Studies met gerecidiveerde/refractaire patiënten: DVd: 21%, Vd: 19%; DRd: 28%, Rd: 23%; DPd: 28%</w:t>
            </w:r>
          </w:p>
          <w:p w14:paraId="20E8BDD9" w14:textId="0811A32B"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 xml:space="preserve">Studies met nieuw gediagnosticeerde patiënten: </w:t>
            </w:r>
            <w:r w:rsidR="00DB63E1">
              <w:rPr>
                <w:rFonts w:ascii="Verdana" w:hAnsi="Verdana"/>
                <w:sz w:val="20"/>
                <w:szCs w:val="20"/>
                <w:lang w:val="nl-BE" w:eastAsia="en-GB"/>
              </w:rPr>
              <w:t>DVMP</w:t>
            </w:r>
            <w:r w:rsidRPr="00A57F00">
              <w:rPr>
                <w:rFonts w:ascii="Verdana" w:hAnsi="Verdana"/>
                <w:sz w:val="20"/>
                <w:szCs w:val="20"/>
                <w:lang w:val="nl-BE" w:eastAsia="en-GB"/>
              </w:rPr>
              <w:t xml:space="preserve">: 23%, VMP: 15%; DRd: 32%, Rd: 23%; </w:t>
            </w:r>
            <w:r w:rsidR="00DB63E1">
              <w:rPr>
                <w:rFonts w:ascii="Verdana" w:hAnsi="Verdana"/>
                <w:sz w:val="20"/>
                <w:szCs w:val="20"/>
                <w:lang w:val="nl-BE" w:eastAsia="en-GB"/>
              </w:rPr>
              <w:t>DVTd</w:t>
            </w:r>
            <w:r w:rsidRPr="00A57F00">
              <w:rPr>
                <w:rFonts w:ascii="Verdana" w:hAnsi="Verdana"/>
                <w:sz w:val="20"/>
                <w:szCs w:val="20"/>
                <w:lang w:val="nl-BE" w:eastAsia="en-GB"/>
              </w:rPr>
              <w:t>: 22%, VTd: 20%.</w:t>
            </w:r>
          </w:p>
          <w:p w14:paraId="1BC8019B"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Graad 5 (fatale)-infecties:</w:t>
            </w:r>
          </w:p>
          <w:p w14:paraId="62F24DA1" w14:textId="77777777" w:rsidR="00410E78" w:rsidRPr="00A57F00" w:rsidRDefault="00410E78" w:rsidP="00410E78">
            <w:pPr>
              <w:rPr>
                <w:rFonts w:ascii="Verdana" w:hAnsi="Verdana"/>
                <w:sz w:val="20"/>
                <w:szCs w:val="20"/>
                <w:lang w:val="nl-BE"/>
              </w:rPr>
            </w:pPr>
            <w:r w:rsidRPr="00A57F00">
              <w:rPr>
                <w:rFonts w:ascii="Verdana" w:hAnsi="Verdana"/>
                <w:sz w:val="20"/>
                <w:szCs w:val="20"/>
                <w:lang w:val="nl-BE" w:eastAsia="en-GB"/>
              </w:rPr>
              <w:t>Studies met gerecidiveerde/refractaire patiënten: DVd: 1%, Vd: 2%; DRd: 2%, Rd: 1%; DPd: 2%</w:t>
            </w:r>
          </w:p>
          <w:p w14:paraId="04990DC8" w14:textId="431D00F3"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 xml:space="preserve">Studies met nieuw gediagnosticeerde patiënten: </w:t>
            </w:r>
            <w:r w:rsidR="00DB63E1">
              <w:rPr>
                <w:rFonts w:ascii="Verdana" w:hAnsi="Verdana"/>
                <w:sz w:val="20"/>
                <w:szCs w:val="20"/>
                <w:lang w:val="nl-BE" w:eastAsia="en-GB"/>
              </w:rPr>
              <w:t>DVMP</w:t>
            </w:r>
            <w:r w:rsidRPr="00A57F00">
              <w:rPr>
                <w:rFonts w:ascii="Verdana" w:hAnsi="Verdana"/>
                <w:sz w:val="20"/>
                <w:szCs w:val="20"/>
                <w:lang w:val="nl-BE" w:eastAsia="en-GB"/>
              </w:rPr>
              <w:t>: 1%, VMP: 1%; DRd: 2%, Rd: 2%; DVTd: 0%, VTd: 0%.</w:t>
            </w:r>
          </w:p>
          <w:p w14:paraId="7EB26188" w14:textId="77777777" w:rsidR="00410E78" w:rsidRPr="00A57F00" w:rsidRDefault="00410E78" w:rsidP="00410E78">
            <w:pPr>
              <w:rPr>
                <w:rFonts w:ascii="Verdana" w:hAnsi="Verdana"/>
                <w:sz w:val="20"/>
                <w:szCs w:val="20"/>
                <w:highlight w:val="cyan"/>
                <w:lang w:val="nl-BE" w:eastAsia="en-GB"/>
              </w:rPr>
            </w:pPr>
          </w:p>
          <w:p w14:paraId="15ADD03D" w14:textId="77777777" w:rsidR="00043684" w:rsidRDefault="00043684" w:rsidP="00410E78">
            <w:pPr>
              <w:rPr>
                <w:rFonts w:ascii="Verdana" w:hAnsi="Verdana"/>
                <w:sz w:val="20"/>
                <w:szCs w:val="20"/>
                <w:lang w:val="nl-BE" w:eastAsia="en-GB"/>
              </w:rPr>
            </w:pPr>
          </w:p>
          <w:p w14:paraId="38EC9F8B" w14:textId="77777777" w:rsidR="00043684" w:rsidRDefault="00043684" w:rsidP="00410E78">
            <w:pPr>
              <w:rPr>
                <w:rFonts w:ascii="Verdana" w:hAnsi="Verdana"/>
                <w:sz w:val="20"/>
                <w:szCs w:val="20"/>
                <w:lang w:val="nl-BE" w:eastAsia="en-GB"/>
              </w:rPr>
            </w:pPr>
          </w:p>
          <w:p w14:paraId="76DAAA01" w14:textId="77777777" w:rsidR="00043684" w:rsidRDefault="00043684" w:rsidP="00410E78">
            <w:pPr>
              <w:rPr>
                <w:rFonts w:ascii="Verdana" w:hAnsi="Verdana"/>
                <w:sz w:val="20"/>
                <w:szCs w:val="20"/>
                <w:lang w:val="nl-BE" w:eastAsia="en-GB"/>
              </w:rPr>
            </w:pPr>
          </w:p>
          <w:p w14:paraId="1C54A13C" w14:textId="68B15A1B"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lastRenderedPageBreak/>
              <w:t xml:space="preserve">Bij patiënten met multipel myeloom die </w:t>
            </w:r>
            <w:r w:rsidR="005E3CA5" w:rsidRPr="00A27B54">
              <w:rPr>
                <w:rFonts w:ascii="Verdana" w:eastAsia="Verdana" w:hAnsi="Verdana" w:cs="Verdana"/>
                <w:sz w:val="20"/>
                <w:szCs w:val="20"/>
                <w:lang w:val="nl"/>
              </w:rPr>
              <w:t xml:space="preserve">Darzalex SC </w:t>
            </w:r>
            <w:r w:rsidRPr="00A57F00">
              <w:rPr>
                <w:rFonts w:ascii="Verdana" w:hAnsi="Verdana"/>
                <w:sz w:val="20"/>
                <w:szCs w:val="20"/>
                <w:lang w:val="nl-BE" w:eastAsia="en-GB"/>
              </w:rPr>
              <w:t>combinatietherapie kregen, werd het volgende gemeld:</w:t>
            </w:r>
          </w:p>
          <w:p w14:paraId="75BA33F7"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Graad 3- of graad 4-infecties: DPd: 28%, Pd: 23%</w:t>
            </w:r>
          </w:p>
          <w:p w14:paraId="03687B47"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Graad 5 (fatale)</w:t>
            </w:r>
            <w:r w:rsidRPr="00A57F00" w:rsidDel="002D7027">
              <w:rPr>
                <w:rFonts w:ascii="Verdana" w:hAnsi="Verdana"/>
                <w:sz w:val="20"/>
                <w:szCs w:val="20"/>
                <w:lang w:val="nl-BE" w:eastAsia="en-GB"/>
              </w:rPr>
              <w:t xml:space="preserve"> </w:t>
            </w:r>
            <w:r w:rsidRPr="00A57F00">
              <w:rPr>
                <w:rFonts w:ascii="Verdana" w:hAnsi="Verdana"/>
                <w:sz w:val="20"/>
                <w:szCs w:val="20"/>
                <w:lang w:val="nl-BE" w:eastAsia="en-GB"/>
              </w:rPr>
              <w:t>-infecties: DPd: 5%, Pd: 3%</w:t>
            </w:r>
          </w:p>
          <w:p w14:paraId="5A4DFFAC" w14:textId="77777777"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 xml:space="preserve">Verklaring: D=daratumumab; </w:t>
            </w:r>
            <w:r w:rsidRPr="00A57F00">
              <w:rPr>
                <w:rFonts w:ascii="Verdana" w:hAnsi="Verdana"/>
                <w:sz w:val="20"/>
                <w:szCs w:val="20"/>
                <w:lang w:val="nl-BE"/>
              </w:rPr>
              <w:t>Vd=bortezomib-dexamethason</w:t>
            </w:r>
            <w:r w:rsidRPr="00A57F00">
              <w:rPr>
                <w:rFonts w:ascii="Verdana" w:hAnsi="Verdana"/>
                <w:bCs/>
                <w:iCs/>
                <w:sz w:val="20"/>
                <w:szCs w:val="20"/>
                <w:lang w:val="nl-BE"/>
              </w:rPr>
              <w:t>; Rd=lenalidomide-dexamethason;</w:t>
            </w:r>
            <w:r w:rsidRPr="00A57F00">
              <w:rPr>
                <w:rFonts w:ascii="Verdana" w:hAnsi="Verdana"/>
                <w:sz w:val="20"/>
                <w:szCs w:val="20"/>
                <w:lang w:val="nl-BE"/>
              </w:rPr>
              <w:t xml:space="preserve"> Pd=pomalidomide-dexamethason; VMP=bortezomib-melfalan-prednison; </w:t>
            </w:r>
            <w:r w:rsidRPr="00A57F00">
              <w:rPr>
                <w:rFonts w:ascii="Verdana" w:hAnsi="Verdana"/>
                <w:iCs/>
                <w:sz w:val="20"/>
                <w:szCs w:val="20"/>
                <w:lang w:val="nl-BE"/>
              </w:rPr>
              <w:t>VTd=bortezomib-thalidomide-dexamethason.</w:t>
            </w:r>
          </w:p>
          <w:p w14:paraId="7D56621E" w14:textId="77777777" w:rsidR="00410E78" w:rsidRPr="00A57F00" w:rsidRDefault="00410E78" w:rsidP="00410E78">
            <w:pPr>
              <w:rPr>
                <w:rFonts w:ascii="Verdana" w:hAnsi="Verdana"/>
                <w:sz w:val="20"/>
                <w:szCs w:val="20"/>
                <w:lang w:val="nl-BE" w:eastAsia="en-GB"/>
              </w:rPr>
            </w:pPr>
          </w:p>
          <w:p w14:paraId="75FF03AB" w14:textId="11A5701B" w:rsidR="00410E78" w:rsidRPr="00A57F00" w:rsidRDefault="00410E78" w:rsidP="00410E78">
            <w:pPr>
              <w:rPr>
                <w:rFonts w:ascii="Verdana" w:hAnsi="Verdana"/>
                <w:sz w:val="20"/>
                <w:szCs w:val="20"/>
                <w:lang w:val="nl-BE" w:eastAsia="en-GB"/>
              </w:rPr>
            </w:pPr>
            <w:r w:rsidRPr="00A57F00">
              <w:rPr>
                <w:rFonts w:ascii="Verdana" w:hAnsi="Verdana"/>
                <w:sz w:val="20"/>
                <w:szCs w:val="20"/>
                <w:lang w:val="nl-BE" w:eastAsia="en-GB"/>
              </w:rPr>
              <w:t xml:space="preserve">Bij patiënten met AL-amyloïdose die </w:t>
            </w:r>
            <w:r w:rsidR="005E3CA5" w:rsidRPr="00A27B54">
              <w:rPr>
                <w:rFonts w:ascii="Verdana" w:eastAsia="Verdana" w:hAnsi="Verdana" w:cs="Verdana"/>
                <w:sz w:val="20"/>
                <w:szCs w:val="20"/>
                <w:lang w:val="nl"/>
              </w:rPr>
              <w:t xml:space="preserve">Darzalex SC </w:t>
            </w:r>
            <w:r w:rsidRPr="00A57F00">
              <w:rPr>
                <w:rFonts w:ascii="Verdana" w:hAnsi="Verdana"/>
                <w:sz w:val="20"/>
                <w:szCs w:val="20"/>
                <w:lang w:val="nl-BE" w:eastAsia="en-GB"/>
              </w:rPr>
              <w:t>combinatietherapie kregen, werd het volgende gemeld:</w:t>
            </w:r>
          </w:p>
          <w:p w14:paraId="533CB12E" w14:textId="4ABA3FFF" w:rsidR="00410E78" w:rsidRPr="00A57F00" w:rsidRDefault="00410E78" w:rsidP="00410E78">
            <w:pPr>
              <w:rPr>
                <w:rFonts w:ascii="Verdana" w:hAnsi="Verdana"/>
                <w:sz w:val="20"/>
                <w:szCs w:val="20"/>
                <w:lang w:val="nl-BE"/>
              </w:rPr>
            </w:pPr>
            <w:r w:rsidRPr="00A57F00">
              <w:rPr>
                <w:rFonts w:ascii="Verdana" w:hAnsi="Verdana"/>
                <w:sz w:val="20"/>
                <w:szCs w:val="20"/>
                <w:lang w:val="nl-BE" w:eastAsia="en-GB"/>
              </w:rPr>
              <w:t xml:space="preserve">Graad 3- of graad 4-infecties: </w:t>
            </w:r>
            <w:r w:rsidRPr="00A57F00">
              <w:rPr>
                <w:rFonts w:ascii="Verdana" w:hAnsi="Verdana"/>
                <w:sz w:val="20"/>
                <w:szCs w:val="20"/>
                <w:lang w:val="nl-BE"/>
              </w:rPr>
              <w:t>DVCd: 17%, VCd:10%</w:t>
            </w:r>
          </w:p>
          <w:p w14:paraId="5A660781" w14:textId="6635EBAE" w:rsidR="00410E78" w:rsidRPr="00A57F00" w:rsidRDefault="00410E78" w:rsidP="00410E78">
            <w:pPr>
              <w:rPr>
                <w:rFonts w:ascii="Verdana" w:hAnsi="Verdana"/>
                <w:sz w:val="20"/>
                <w:szCs w:val="20"/>
                <w:lang w:val="nl-BE"/>
              </w:rPr>
            </w:pPr>
            <w:r w:rsidRPr="00A57F00">
              <w:rPr>
                <w:rFonts w:ascii="Verdana" w:hAnsi="Verdana"/>
                <w:sz w:val="20"/>
                <w:szCs w:val="20"/>
                <w:lang w:val="nl-BE"/>
              </w:rPr>
              <w:t>Graad 5-infecties: DVCd: 1%, VCd: 1%</w:t>
            </w:r>
          </w:p>
          <w:p w14:paraId="173AB8E2" w14:textId="77777777" w:rsidR="00410E78" w:rsidRPr="00A57F00" w:rsidRDefault="00410E78" w:rsidP="00410E78">
            <w:pPr>
              <w:rPr>
                <w:rFonts w:ascii="Verdana" w:hAnsi="Verdana"/>
                <w:sz w:val="20"/>
                <w:szCs w:val="20"/>
                <w:lang w:val="nl-BE"/>
              </w:rPr>
            </w:pPr>
            <w:r w:rsidRPr="00A57F00">
              <w:rPr>
                <w:rFonts w:ascii="Verdana" w:hAnsi="Verdana"/>
                <w:sz w:val="20"/>
                <w:szCs w:val="20"/>
                <w:lang w:val="nl-BE" w:eastAsia="en-GB"/>
              </w:rPr>
              <w:t xml:space="preserve">Verklaring: D=daratumumab; </w:t>
            </w:r>
            <w:r w:rsidRPr="00A57F00">
              <w:rPr>
                <w:rFonts w:ascii="Verdana" w:hAnsi="Verdana"/>
                <w:sz w:val="20"/>
                <w:szCs w:val="20"/>
                <w:lang w:val="nl-BE"/>
              </w:rPr>
              <w:t>VCd=bortezomib-cyclofosfamide-dexamethason</w:t>
            </w:r>
          </w:p>
          <w:p w14:paraId="5E4BA326" w14:textId="1E056955" w:rsidR="6B23D4A8" w:rsidRPr="00A27B54" w:rsidRDefault="6B23D4A8" w:rsidP="058689AF">
            <w:pPr>
              <w:rPr>
                <w:rFonts w:ascii="Verdana" w:eastAsia="Verdana" w:hAnsi="Verdana" w:cs="Verdana"/>
                <w:sz w:val="20"/>
                <w:szCs w:val="20"/>
                <w:lang w:val="nl"/>
              </w:rPr>
            </w:pPr>
            <w:r w:rsidRPr="00A27B54">
              <w:rPr>
                <w:rFonts w:ascii="Verdana" w:eastAsia="Verdana" w:hAnsi="Verdana" w:cs="Verdana"/>
                <w:sz w:val="20"/>
                <w:szCs w:val="20"/>
                <w:lang w:val="nl"/>
              </w:rPr>
              <w:t xml:space="preserve"> </w:t>
            </w:r>
          </w:p>
          <w:p w14:paraId="0FC96AD6" w14:textId="7E56E876" w:rsidR="6B23D4A8" w:rsidRPr="00A57F00" w:rsidRDefault="6B23D4A8" w:rsidP="058689AF">
            <w:pPr>
              <w:rPr>
                <w:rFonts w:ascii="Verdana" w:eastAsia="Verdana" w:hAnsi="Verdana" w:cs="Verdana"/>
                <w:i/>
                <w:iCs/>
                <w:sz w:val="20"/>
                <w:szCs w:val="20"/>
                <w:lang w:val="nl"/>
              </w:rPr>
            </w:pPr>
            <w:r w:rsidRPr="00A57F00">
              <w:rPr>
                <w:rFonts w:ascii="Verdana" w:eastAsia="Verdana" w:hAnsi="Verdana" w:cs="Verdana"/>
                <w:i/>
                <w:iCs/>
                <w:sz w:val="20"/>
                <w:szCs w:val="20"/>
                <w:lang w:val="nl"/>
              </w:rPr>
              <w:t>Hemolyse</w:t>
            </w:r>
          </w:p>
          <w:p w14:paraId="21AA4873" w14:textId="77777777" w:rsidR="00CB1297" w:rsidRDefault="6B23D4A8" w:rsidP="313298E9">
            <w:pPr>
              <w:autoSpaceDE w:val="0"/>
              <w:autoSpaceDN w:val="0"/>
              <w:adjustRightInd w:val="0"/>
              <w:rPr>
                <w:rFonts w:ascii="Verdana" w:eastAsia="Verdana" w:hAnsi="Verdana" w:cs="Verdana"/>
                <w:sz w:val="20"/>
                <w:szCs w:val="20"/>
                <w:lang w:val="nl"/>
              </w:rPr>
            </w:pPr>
            <w:r w:rsidRPr="00A57F00">
              <w:rPr>
                <w:rFonts w:ascii="Verdana" w:eastAsia="Verdana" w:hAnsi="Verdana" w:cs="Verdana"/>
                <w:sz w:val="20"/>
                <w:szCs w:val="20"/>
                <w:lang w:val="nl"/>
              </w:rPr>
              <w:t>Er is een theoretisch risico op hemolyse. In klinische studies en post</w:t>
            </w:r>
            <w:r w:rsidRPr="00A57F00">
              <w:rPr>
                <w:rFonts w:ascii="Cambria Math" w:eastAsia="Verdana" w:hAnsi="Cambria Math" w:cs="Cambria Math"/>
                <w:sz w:val="20"/>
                <w:szCs w:val="20"/>
                <w:lang w:val="nl"/>
              </w:rPr>
              <w:t>‑</w:t>
            </w:r>
            <w:r w:rsidRPr="00A27B54">
              <w:rPr>
                <w:rFonts w:ascii="Verdana" w:eastAsia="Verdana" w:hAnsi="Verdana" w:cs="Verdana"/>
                <w:sz w:val="20"/>
                <w:szCs w:val="20"/>
                <w:lang w:val="nl"/>
              </w:rPr>
              <w:t>marketing veiligheidsdata zal continue monitoring op dit veiligheidssignaal plaatsvinden.</w:t>
            </w:r>
          </w:p>
          <w:p w14:paraId="33E15AC3" w14:textId="731C59B4" w:rsidR="00043684" w:rsidRPr="00A57F00" w:rsidRDefault="00043684" w:rsidP="313298E9">
            <w:pPr>
              <w:autoSpaceDE w:val="0"/>
              <w:autoSpaceDN w:val="0"/>
              <w:adjustRightInd w:val="0"/>
              <w:rPr>
                <w:rFonts w:ascii="Verdana" w:eastAsia="Verdana" w:hAnsi="Verdana" w:cs="Verdana"/>
                <w:sz w:val="20"/>
                <w:szCs w:val="20"/>
                <w:lang w:val="nl"/>
              </w:rPr>
            </w:pPr>
          </w:p>
        </w:tc>
      </w:tr>
      <w:tr w:rsidR="00CB1297" w14:paraId="1A0849B1" w14:textId="77777777" w:rsidTr="313298E9">
        <w:tc>
          <w:tcPr>
            <w:tcW w:w="1770" w:type="dxa"/>
          </w:tcPr>
          <w:p w14:paraId="79187D68" w14:textId="77777777" w:rsidR="00CB1297" w:rsidRPr="00F240FC" w:rsidRDefault="00CB1297" w:rsidP="00CB1297">
            <w:pPr>
              <w:rPr>
                <w:rFonts w:ascii="Verdana" w:hAnsi="Verdana"/>
                <w:sz w:val="20"/>
                <w:szCs w:val="20"/>
              </w:rPr>
            </w:pPr>
            <w:r w:rsidRPr="00F240FC">
              <w:rPr>
                <w:rFonts w:ascii="Verdana" w:hAnsi="Verdana"/>
                <w:sz w:val="20"/>
                <w:szCs w:val="20"/>
              </w:rPr>
              <w:lastRenderedPageBreak/>
              <w:t>Dosering:</w:t>
            </w:r>
          </w:p>
        </w:tc>
        <w:tc>
          <w:tcPr>
            <w:tcW w:w="7580" w:type="dxa"/>
          </w:tcPr>
          <w:p w14:paraId="4D9F6816" w14:textId="2A5745DA" w:rsidR="00F42BD1" w:rsidRPr="00F42BD1" w:rsidRDefault="00F42BD1" w:rsidP="00F42BD1">
            <w:pPr>
              <w:pStyle w:val="Default"/>
              <w:rPr>
                <w:rFonts w:ascii="Verdana" w:hAnsi="Verdana"/>
                <w:sz w:val="20"/>
                <w:szCs w:val="20"/>
                <w:lang w:val="nl-BE"/>
              </w:rPr>
            </w:pPr>
            <w:r w:rsidRPr="00F42BD1">
              <w:rPr>
                <w:rFonts w:ascii="Verdana" w:hAnsi="Verdana"/>
                <w:sz w:val="20"/>
                <w:szCs w:val="20"/>
                <w:lang w:val="nl-BE"/>
              </w:rPr>
              <w:t xml:space="preserve">De aanbevolen dosis van </w:t>
            </w:r>
            <w:r w:rsidR="0076202D">
              <w:rPr>
                <w:rFonts w:ascii="Verdana" w:hAnsi="Verdana"/>
                <w:sz w:val="20"/>
                <w:szCs w:val="20"/>
                <w:lang w:val="nl-BE"/>
              </w:rPr>
              <w:t>Darzalex SC</w:t>
            </w:r>
            <w:r w:rsidRPr="00F42BD1">
              <w:rPr>
                <w:rFonts w:ascii="Verdana" w:hAnsi="Verdana"/>
                <w:sz w:val="20"/>
                <w:szCs w:val="20"/>
                <w:lang w:val="nl-BE"/>
              </w:rPr>
              <w:t xml:space="preserve"> is 1 800 mg, toegediend in ongeveer 3-5 minuten, volgens het volgende behandelschema in tabel </w:t>
            </w:r>
            <w:r w:rsidR="00644D77">
              <w:rPr>
                <w:rFonts w:ascii="Verdana" w:hAnsi="Verdana"/>
                <w:sz w:val="20"/>
                <w:szCs w:val="20"/>
                <w:lang w:val="nl-BE"/>
              </w:rPr>
              <w:t>3</w:t>
            </w:r>
            <w:r w:rsidRPr="00F42BD1">
              <w:rPr>
                <w:rFonts w:ascii="Verdana" w:hAnsi="Verdana"/>
                <w:sz w:val="20"/>
                <w:szCs w:val="20"/>
                <w:lang w:val="nl-BE"/>
              </w:rPr>
              <w:t>.</w:t>
            </w:r>
          </w:p>
          <w:p w14:paraId="7768FD0A" w14:textId="77777777" w:rsidR="00F42BD1" w:rsidRPr="00F42BD1" w:rsidRDefault="00F42BD1" w:rsidP="00F42BD1">
            <w:pPr>
              <w:pStyle w:val="Default"/>
              <w:rPr>
                <w:rFonts w:ascii="Verdana" w:hAnsi="Verdana"/>
                <w:sz w:val="20"/>
                <w:szCs w:val="20"/>
                <w:lang w:val="nl-BE"/>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6"/>
              <w:gridCol w:w="4044"/>
            </w:tblGrid>
            <w:tr w:rsidR="00F42BD1" w:rsidRPr="00F42BD1" w14:paraId="1B8E81FF" w14:textId="77777777" w:rsidTr="0028539F">
              <w:trPr>
                <w:cantSplit/>
                <w:jc w:val="center"/>
              </w:trPr>
              <w:tc>
                <w:tcPr>
                  <w:tcW w:w="5000" w:type="pct"/>
                  <w:gridSpan w:val="2"/>
                  <w:tcBorders>
                    <w:top w:val="nil"/>
                    <w:left w:val="nil"/>
                    <w:right w:val="nil"/>
                  </w:tcBorders>
                  <w:shd w:val="clear" w:color="auto" w:fill="auto"/>
                </w:tcPr>
                <w:p w14:paraId="11C05BCD" w14:textId="6421E50F" w:rsidR="00F42BD1" w:rsidRPr="0028539F" w:rsidRDefault="00F42BD1" w:rsidP="00F42BD1">
                  <w:pPr>
                    <w:pStyle w:val="Default"/>
                    <w:rPr>
                      <w:rFonts w:ascii="Verdana" w:hAnsi="Verdana"/>
                      <w:b/>
                      <w:bCs/>
                      <w:sz w:val="16"/>
                      <w:szCs w:val="16"/>
                      <w:lang w:val="nl-BE"/>
                    </w:rPr>
                  </w:pPr>
                  <w:r w:rsidRPr="0028539F">
                    <w:rPr>
                      <w:rFonts w:ascii="Verdana" w:hAnsi="Verdana"/>
                      <w:b/>
                      <w:bCs/>
                      <w:sz w:val="16"/>
                      <w:szCs w:val="16"/>
                      <w:lang w:val="nl-BE"/>
                    </w:rPr>
                    <w:t>Tabel </w:t>
                  </w:r>
                  <w:r w:rsidR="00644D77">
                    <w:rPr>
                      <w:rFonts w:ascii="Verdana" w:hAnsi="Verdana"/>
                      <w:b/>
                      <w:bCs/>
                      <w:sz w:val="16"/>
                      <w:szCs w:val="16"/>
                      <w:lang w:val="nl-BE"/>
                    </w:rPr>
                    <w:t>3</w:t>
                  </w:r>
                  <w:r w:rsidRPr="0028539F">
                    <w:rPr>
                      <w:rFonts w:ascii="Verdana" w:hAnsi="Verdana"/>
                      <w:b/>
                      <w:bCs/>
                      <w:sz w:val="16"/>
                      <w:szCs w:val="16"/>
                      <w:lang w:val="nl-BE"/>
                    </w:rPr>
                    <w:t>:</w:t>
                  </w:r>
                  <w:r w:rsidRPr="0028539F">
                    <w:rPr>
                      <w:rFonts w:ascii="Verdana" w:hAnsi="Verdana"/>
                      <w:b/>
                      <w:bCs/>
                      <w:sz w:val="16"/>
                      <w:szCs w:val="16"/>
                      <w:lang w:val="nl-BE"/>
                    </w:rPr>
                    <w:tab/>
                  </w:r>
                  <w:r w:rsidRPr="0028539F">
                    <w:rPr>
                      <w:rFonts w:ascii="Verdana" w:hAnsi="Verdana"/>
                      <w:b/>
                      <w:sz w:val="16"/>
                      <w:szCs w:val="16"/>
                      <w:lang w:val="nl-BE"/>
                    </w:rPr>
                    <w:t>Behandelschema voor D</w:t>
                  </w:r>
                  <w:r w:rsidR="00DB63E1">
                    <w:rPr>
                      <w:rFonts w:ascii="Verdana" w:hAnsi="Verdana"/>
                      <w:b/>
                      <w:sz w:val="16"/>
                      <w:szCs w:val="16"/>
                      <w:lang w:val="nl-BE"/>
                    </w:rPr>
                    <w:t>arzalex</w:t>
                  </w:r>
                  <w:r w:rsidRPr="0028539F">
                    <w:rPr>
                      <w:rFonts w:ascii="Verdana" w:hAnsi="Verdana"/>
                      <w:b/>
                      <w:sz w:val="16"/>
                      <w:szCs w:val="16"/>
                      <w:lang w:val="nl-BE"/>
                    </w:rPr>
                    <w:t xml:space="preserve"> </w:t>
                  </w:r>
                  <w:r w:rsidRPr="0028539F">
                    <w:rPr>
                      <w:rFonts w:ascii="Verdana" w:hAnsi="Verdana"/>
                      <w:b/>
                      <w:bCs/>
                      <w:sz w:val="16"/>
                      <w:szCs w:val="16"/>
                      <w:lang w:val="nl-BE"/>
                    </w:rPr>
                    <w:t>in</w:t>
                  </w:r>
                  <w:r w:rsidRPr="0028539F">
                    <w:rPr>
                      <w:rFonts w:ascii="Verdana" w:hAnsi="Verdana"/>
                      <w:b/>
                      <w:sz w:val="16"/>
                      <w:szCs w:val="16"/>
                      <w:lang w:val="nl-BE"/>
                    </w:rPr>
                    <w:t xml:space="preserve"> combinatie met </w:t>
                  </w:r>
                  <w:r w:rsidRPr="0028539F">
                    <w:rPr>
                      <w:rFonts w:ascii="Verdana" w:hAnsi="Verdana"/>
                      <w:b/>
                      <w:bCs/>
                      <w:sz w:val="16"/>
                      <w:szCs w:val="16"/>
                      <w:lang w:val="nl-BE"/>
                    </w:rPr>
                    <w:t>lenalidomide en dexamethason (Rd), pomalidomide en dexamethason (Pd) (</w:t>
                  </w:r>
                  <w:r w:rsidRPr="0028539F">
                    <w:rPr>
                      <w:rFonts w:ascii="Verdana" w:hAnsi="Verdana"/>
                      <w:b/>
                      <w:sz w:val="16"/>
                      <w:szCs w:val="16"/>
                      <w:lang w:val="nl-BE"/>
                    </w:rPr>
                    <w:t>behandelschema met cycli van 4 weken) en voor monotherapie</w:t>
                  </w:r>
                </w:p>
              </w:tc>
            </w:tr>
            <w:tr w:rsidR="00F42BD1" w:rsidRPr="00F42BD1" w14:paraId="2051ED69" w14:textId="77777777" w:rsidTr="0028539F">
              <w:trPr>
                <w:cantSplit/>
                <w:jc w:val="center"/>
              </w:trPr>
              <w:tc>
                <w:tcPr>
                  <w:tcW w:w="2282" w:type="pct"/>
                  <w:tcBorders>
                    <w:top w:val="single" w:sz="4" w:space="0" w:color="auto"/>
                  </w:tcBorders>
                  <w:shd w:val="clear" w:color="auto" w:fill="auto"/>
                </w:tcPr>
                <w:p w14:paraId="451DC1CB" w14:textId="77777777" w:rsidR="00F42BD1" w:rsidRPr="0028539F" w:rsidRDefault="00F42BD1" w:rsidP="00F42BD1">
                  <w:pPr>
                    <w:pStyle w:val="Default"/>
                    <w:rPr>
                      <w:rFonts w:ascii="Verdana" w:hAnsi="Verdana"/>
                      <w:b/>
                      <w:sz w:val="16"/>
                      <w:szCs w:val="16"/>
                      <w:lang w:val="nl-BE"/>
                    </w:rPr>
                  </w:pPr>
                  <w:r w:rsidRPr="0028539F">
                    <w:rPr>
                      <w:rFonts w:ascii="Verdana" w:hAnsi="Verdana"/>
                      <w:b/>
                      <w:sz w:val="16"/>
                      <w:szCs w:val="16"/>
                      <w:lang w:val="nl-BE"/>
                    </w:rPr>
                    <w:t>Weken</w:t>
                  </w:r>
                </w:p>
              </w:tc>
              <w:tc>
                <w:tcPr>
                  <w:tcW w:w="2718" w:type="pct"/>
                  <w:tcBorders>
                    <w:top w:val="single" w:sz="4" w:space="0" w:color="auto"/>
                  </w:tcBorders>
                  <w:shd w:val="clear" w:color="auto" w:fill="auto"/>
                </w:tcPr>
                <w:p w14:paraId="21A05E64" w14:textId="77777777" w:rsidR="00F42BD1" w:rsidRPr="0028539F" w:rsidRDefault="00F42BD1" w:rsidP="00F42BD1">
                  <w:pPr>
                    <w:pStyle w:val="Default"/>
                    <w:rPr>
                      <w:rFonts w:ascii="Verdana" w:hAnsi="Verdana"/>
                      <w:b/>
                      <w:sz w:val="16"/>
                      <w:szCs w:val="16"/>
                      <w:lang w:val="nl-BE"/>
                    </w:rPr>
                  </w:pPr>
                  <w:r w:rsidRPr="0028539F">
                    <w:rPr>
                      <w:rFonts w:ascii="Verdana" w:hAnsi="Verdana"/>
                      <w:b/>
                      <w:sz w:val="16"/>
                      <w:szCs w:val="16"/>
                      <w:lang w:val="nl-BE"/>
                    </w:rPr>
                    <w:t>Schema</w:t>
                  </w:r>
                </w:p>
              </w:tc>
            </w:tr>
            <w:tr w:rsidR="00F42BD1" w:rsidRPr="00F42BD1" w14:paraId="5680087F" w14:textId="77777777" w:rsidTr="0028539F">
              <w:trPr>
                <w:cantSplit/>
                <w:jc w:val="center"/>
              </w:trPr>
              <w:tc>
                <w:tcPr>
                  <w:tcW w:w="2282" w:type="pct"/>
                  <w:shd w:val="clear" w:color="auto" w:fill="auto"/>
                </w:tcPr>
                <w:p w14:paraId="020D88C6" w14:textId="77777777" w:rsidR="00F42BD1" w:rsidRPr="0028539F" w:rsidRDefault="00F42BD1" w:rsidP="00F42BD1">
                  <w:pPr>
                    <w:pStyle w:val="Default"/>
                    <w:rPr>
                      <w:rFonts w:ascii="Verdana" w:hAnsi="Verdana"/>
                      <w:sz w:val="16"/>
                      <w:szCs w:val="16"/>
                      <w:lang w:val="nl-BE"/>
                    </w:rPr>
                  </w:pPr>
                  <w:r w:rsidRPr="0028539F">
                    <w:rPr>
                      <w:rFonts w:ascii="Verdana" w:hAnsi="Verdana"/>
                      <w:sz w:val="16"/>
                      <w:szCs w:val="16"/>
                      <w:lang w:val="nl-BE"/>
                    </w:rPr>
                    <w:t>Week 1 tot 8</w:t>
                  </w:r>
                </w:p>
              </w:tc>
              <w:tc>
                <w:tcPr>
                  <w:tcW w:w="2718" w:type="pct"/>
                  <w:shd w:val="clear" w:color="auto" w:fill="auto"/>
                </w:tcPr>
                <w:p w14:paraId="5C44CD2C" w14:textId="77777777" w:rsidR="00F42BD1" w:rsidRPr="0028539F" w:rsidRDefault="00F42BD1" w:rsidP="00F42BD1">
                  <w:pPr>
                    <w:pStyle w:val="Default"/>
                    <w:rPr>
                      <w:rFonts w:ascii="Verdana" w:hAnsi="Verdana"/>
                      <w:sz w:val="16"/>
                      <w:szCs w:val="16"/>
                      <w:lang w:val="nl-BE"/>
                    </w:rPr>
                  </w:pPr>
                  <w:r w:rsidRPr="0028539F">
                    <w:rPr>
                      <w:rFonts w:ascii="Verdana" w:hAnsi="Verdana"/>
                      <w:sz w:val="16"/>
                      <w:szCs w:val="16"/>
                      <w:lang w:val="nl-BE"/>
                    </w:rPr>
                    <w:t>elke week (in totaal 8 doses)</w:t>
                  </w:r>
                </w:p>
              </w:tc>
            </w:tr>
            <w:tr w:rsidR="00F42BD1" w:rsidRPr="00F42BD1" w14:paraId="3E87B673" w14:textId="77777777" w:rsidTr="0028539F">
              <w:trPr>
                <w:cantSplit/>
                <w:jc w:val="center"/>
              </w:trPr>
              <w:tc>
                <w:tcPr>
                  <w:tcW w:w="2282" w:type="pct"/>
                  <w:shd w:val="clear" w:color="auto" w:fill="auto"/>
                </w:tcPr>
                <w:p w14:paraId="08D2D61E" w14:textId="77777777" w:rsidR="00F42BD1" w:rsidRPr="0028539F" w:rsidRDefault="00F42BD1" w:rsidP="00F42BD1">
                  <w:pPr>
                    <w:pStyle w:val="Default"/>
                    <w:rPr>
                      <w:rFonts w:ascii="Verdana" w:hAnsi="Verdana"/>
                      <w:sz w:val="16"/>
                      <w:szCs w:val="16"/>
                      <w:lang w:val="nl-BE"/>
                    </w:rPr>
                  </w:pPr>
                  <w:r w:rsidRPr="0028539F">
                    <w:rPr>
                      <w:rFonts w:ascii="Verdana" w:hAnsi="Verdana"/>
                      <w:sz w:val="16"/>
                      <w:szCs w:val="16"/>
                      <w:lang w:val="nl-BE"/>
                    </w:rPr>
                    <w:t>Week 9 tot 24</w:t>
                  </w:r>
                  <w:r w:rsidRPr="0028539F">
                    <w:rPr>
                      <w:rFonts w:ascii="Verdana" w:hAnsi="Verdana"/>
                      <w:sz w:val="16"/>
                      <w:szCs w:val="16"/>
                      <w:vertAlign w:val="superscript"/>
                      <w:lang w:val="nl-BE"/>
                    </w:rPr>
                    <w:t>a</w:t>
                  </w:r>
                </w:p>
              </w:tc>
              <w:tc>
                <w:tcPr>
                  <w:tcW w:w="2718" w:type="pct"/>
                  <w:shd w:val="clear" w:color="auto" w:fill="auto"/>
                </w:tcPr>
                <w:p w14:paraId="1B6CF88B" w14:textId="77777777" w:rsidR="00F42BD1" w:rsidRPr="0028539F" w:rsidRDefault="00F42BD1" w:rsidP="00F42BD1">
                  <w:pPr>
                    <w:pStyle w:val="Default"/>
                    <w:rPr>
                      <w:rFonts w:ascii="Verdana" w:hAnsi="Verdana"/>
                      <w:sz w:val="16"/>
                      <w:szCs w:val="16"/>
                      <w:lang w:val="nl-BE"/>
                    </w:rPr>
                  </w:pPr>
                  <w:r w:rsidRPr="0028539F">
                    <w:rPr>
                      <w:rFonts w:ascii="Verdana" w:hAnsi="Verdana"/>
                      <w:sz w:val="16"/>
                      <w:szCs w:val="16"/>
                      <w:lang w:val="nl-BE"/>
                    </w:rPr>
                    <w:t>om de twee weken</w:t>
                  </w:r>
                  <w:r w:rsidRPr="0028539F">
                    <w:rPr>
                      <w:rFonts w:ascii="Verdana" w:hAnsi="Verdana"/>
                      <w:sz w:val="16"/>
                      <w:szCs w:val="16"/>
                      <w:vertAlign w:val="superscript"/>
                      <w:lang w:val="nl-BE"/>
                    </w:rPr>
                    <w:t xml:space="preserve"> </w:t>
                  </w:r>
                  <w:r w:rsidRPr="0028539F">
                    <w:rPr>
                      <w:rFonts w:ascii="Verdana" w:hAnsi="Verdana"/>
                      <w:sz w:val="16"/>
                      <w:szCs w:val="16"/>
                      <w:lang w:val="nl-BE"/>
                    </w:rPr>
                    <w:t>(in totaal 8 doses)</w:t>
                  </w:r>
                </w:p>
              </w:tc>
            </w:tr>
            <w:tr w:rsidR="00F42BD1" w:rsidRPr="00F42BD1" w14:paraId="6776E05E" w14:textId="77777777" w:rsidTr="0028539F">
              <w:trPr>
                <w:cantSplit/>
                <w:jc w:val="center"/>
              </w:trPr>
              <w:tc>
                <w:tcPr>
                  <w:tcW w:w="2282" w:type="pct"/>
                  <w:shd w:val="clear" w:color="auto" w:fill="auto"/>
                </w:tcPr>
                <w:p w14:paraId="776F3E54" w14:textId="77777777" w:rsidR="00F42BD1" w:rsidRPr="0028539F" w:rsidRDefault="00F42BD1" w:rsidP="00F42BD1">
                  <w:pPr>
                    <w:pStyle w:val="Default"/>
                    <w:rPr>
                      <w:rFonts w:ascii="Verdana" w:hAnsi="Verdana"/>
                      <w:sz w:val="16"/>
                      <w:szCs w:val="16"/>
                      <w:lang w:val="nl-BE"/>
                    </w:rPr>
                  </w:pPr>
                  <w:r w:rsidRPr="0028539F">
                    <w:rPr>
                      <w:rFonts w:ascii="Verdana" w:hAnsi="Verdana"/>
                      <w:sz w:val="16"/>
                      <w:szCs w:val="16"/>
                      <w:lang w:val="nl-BE"/>
                    </w:rPr>
                    <w:t>Week 25 en verder tot ziekteprogressie</w:t>
                  </w:r>
                  <w:r w:rsidRPr="0028539F">
                    <w:rPr>
                      <w:rFonts w:ascii="Verdana" w:hAnsi="Verdana"/>
                      <w:sz w:val="16"/>
                      <w:szCs w:val="16"/>
                      <w:vertAlign w:val="superscript"/>
                      <w:lang w:val="nl-BE"/>
                    </w:rPr>
                    <w:t>b</w:t>
                  </w:r>
                </w:p>
              </w:tc>
              <w:tc>
                <w:tcPr>
                  <w:tcW w:w="2718" w:type="pct"/>
                  <w:shd w:val="clear" w:color="auto" w:fill="auto"/>
                </w:tcPr>
                <w:p w14:paraId="01B71395" w14:textId="77777777" w:rsidR="00F42BD1" w:rsidRPr="0028539F" w:rsidRDefault="00F42BD1" w:rsidP="00F42BD1">
                  <w:pPr>
                    <w:pStyle w:val="Default"/>
                    <w:rPr>
                      <w:rFonts w:ascii="Verdana" w:hAnsi="Verdana"/>
                      <w:sz w:val="16"/>
                      <w:szCs w:val="16"/>
                      <w:lang w:val="nl-BE"/>
                    </w:rPr>
                  </w:pPr>
                  <w:r w:rsidRPr="0028539F">
                    <w:rPr>
                      <w:rFonts w:ascii="Verdana" w:hAnsi="Verdana"/>
                      <w:sz w:val="16"/>
                      <w:szCs w:val="16"/>
                      <w:lang w:val="nl-BE"/>
                    </w:rPr>
                    <w:t>om de vier weken</w:t>
                  </w:r>
                </w:p>
              </w:tc>
            </w:tr>
            <w:tr w:rsidR="00F42BD1" w:rsidRPr="00F42BD1" w14:paraId="4478EE66" w14:textId="77777777" w:rsidTr="0028539F">
              <w:trPr>
                <w:cantSplit/>
                <w:jc w:val="center"/>
              </w:trPr>
              <w:tc>
                <w:tcPr>
                  <w:tcW w:w="5000" w:type="pct"/>
                  <w:gridSpan w:val="2"/>
                  <w:tcBorders>
                    <w:left w:val="nil"/>
                    <w:bottom w:val="nil"/>
                    <w:right w:val="nil"/>
                  </w:tcBorders>
                  <w:shd w:val="clear" w:color="auto" w:fill="auto"/>
                </w:tcPr>
                <w:p w14:paraId="568A5A8E" w14:textId="035D67AA" w:rsidR="00F42BD1" w:rsidRPr="0028539F" w:rsidRDefault="00F42BD1" w:rsidP="00F42BD1">
                  <w:pPr>
                    <w:pStyle w:val="Default"/>
                    <w:rPr>
                      <w:rFonts w:ascii="Verdana" w:hAnsi="Verdana"/>
                      <w:sz w:val="16"/>
                      <w:szCs w:val="16"/>
                      <w:lang w:val="nl-BE"/>
                    </w:rPr>
                  </w:pPr>
                  <w:proofErr w:type="spellStart"/>
                  <w:r w:rsidRPr="0028539F">
                    <w:rPr>
                      <w:rFonts w:ascii="Verdana" w:hAnsi="Verdana"/>
                      <w:sz w:val="16"/>
                      <w:szCs w:val="16"/>
                      <w:vertAlign w:val="superscript"/>
                      <w:lang w:val="nl-BE"/>
                    </w:rPr>
                    <w:t>a</w:t>
                  </w:r>
                  <w:r w:rsidRPr="0028539F">
                    <w:rPr>
                      <w:rFonts w:ascii="Verdana" w:hAnsi="Verdana"/>
                      <w:sz w:val="16"/>
                      <w:szCs w:val="16"/>
                      <w:lang w:val="nl-BE"/>
                    </w:rPr>
                    <w:t>De</w:t>
                  </w:r>
                  <w:proofErr w:type="spellEnd"/>
                  <w:r w:rsidRPr="0028539F">
                    <w:rPr>
                      <w:rFonts w:ascii="Verdana" w:hAnsi="Verdana"/>
                      <w:sz w:val="16"/>
                      <w:szCs w:val="16"/>
                      <w:lang w:val="nl-BE"/>
                    </w:rPr>
                    <w:t xml:space="preserve"> eerste dosis van het 2</w:t>
                  </w:r>
                  <w:r w:rsidRPr="0028539F">
                    <w:rPr>
                      <w:rFonts w:ascii="Verdana" w:hAnsi="Verdana"/>
                      <w:sz w:val="16"/>
                      <w:szCs w:val="16"/>
                      <w:lang w:val="nl-BE"/>
                    </w:rPr>
                    <w:noBreakHyphen/>
                    <w:t>wekelijks behandelschema wordt toegediend in week 9</w:t>
                  </w:r>
                </w:p>
                <w:p w14:paraId="14C0D35A" w14:textId="315E97DC" w:rsidR="00F42BD1" w:rsidRPr="0028539F" w:rsidRDefault="00F42BD1" w:rsidP="00F42BD1">
                  <w:pPr>
                    <w:pStyle w:val="Default"/>
                    <w:rPr>
                      <w:rFonts w:ascii="Verdana" w:hAnsi="Verdana"/>
                      <w:sz w:val="16"/>
                      <w:szCs w:val="16"/>
                      <w:lang w:val="nl-BE"/>
                    </w:rPr>
                  </w:pPr>
                  <w:proofErr w:type="spellStart"/>
                  <w:r w:rsidRPr="0028539F">
                    <w:rPr>
                      <w:rFonts w:ascii="Verdana" w:hAnsi="Verdana"/>
                      <w:sz w:val="16"/>
                      <w:szCs w:val="16"/>
                      <w:vertAlign w:val="superscript"/>
                      <w:lang w:val="nl-BE"/>
                    </w:rPr>
                    <w:t>b</w:t>
                  </w:r>
                  <w:r w:rsidRPr="0028539F">
                    <w:rPr>
                      <w:rFonts w:ascii="Verdana" w:hAnsi="Verdana"/>
                      <w:sz w:val="16"/>
                      <w:szCs w:val="16"/>
                      <w:lang w:val="nl-BE"/>
                    </w:rPr>
                    <w:t>De</w:t>
                  </w:r>
                  <w:proofErr w:type="spellEnd"/>
                  <w:r w:rsidRPr="0028539F">
                    <w:rPr>
                      <w:rFonts w:ascii="Verdana" w:hAnsi="Verdana"/>
                      <w:sz w:val="16"/>
                      <w:szCs w:val="16"/>
                      <w:lang w:val="nl-BE"/>
                    </w:rPr>
                    <w:t xml:space="preserve"> eerste dosis van het 4</w:t>
                  </w:r>
                  <w:r w:rsidRPr="0028539F">
                    <w:rPr>
                      <w:rFonts w:ascii="Verdana" w:hAnsi="Verdana"/>
                      <w:sz w:val="16"/>
                      <w:szCs w:val="16"/>
                      <w:lang w:val="nl-BE"/>
                    </w:rPr>
                    <w:noBreakHyphen/>
                    <w:t>wekelijks behandelschema wordt toegediend in week 25</w:t>
                  </w:r>
                </w:p>
              </w:tc>
            </w:tr>
          </w:tbl>
          <w:p w14:paraId="6E5E9C90" w14:textId="77777777" w:rsidR="00F42BD1" w:rsidRPr="00F42BD1" w:rsidRDefault="00F42BD1" w:rsidP="00F42BD1">
            <w:pPr>
              <w:pStyle w:val="Default"/>
              <w:rPr>
                <w:rFonts w:ascii="Verdana" w:hAnsi="Verdana"/>
                <w:sz w:val="20"/>
                <w:szCs w:val="20"/>
                <w:lang w:val="nl-BE"/>
              </w:rPr>
            </w:pPr>
          </w:p>
          <w:p w14:paraId="75A8837F" w14:textId="77777777" w:rsidR="00CB1297" w:rsidRDefault="00F42BD1" w:rsidP="00644D77">
            <w:pPr>
              <w:pStyle w:val="Default"/>
              <w:rPr>
                <w:rFonts w:ascii="Verdana" w:hAnsi="Verdana"/>
                <w:bCs/>
                <w:sz w:val="20"/>
                <w:szCs w:val="20"/>
                <w:lang w:val="nl-BE"/>
              </w:rPr>
            </w:pPr>
            <w:r w:rsidRPr="00F42BD1">
              <w:rPr>
                <w:rFonts w:ascii="Verdana" w:hAnsi="Verdana"/>
                <w:sz w:val="20"/>
                <w:szCs w:val="20"/>
                <w:lang w:val="nl-BE"/>
              </w:rPr>
              <w:t xml:space="preserve">Dexamethason moet worden toegediend in een dosis van 40 mg/week (of een verlaagde dosis van 20 mg/week voor </w:t>
            </w:r>
            <w:r w:rsidRPr="00F42BD1">
              <w:rPr>
                <w:rFonts w:ascii="Verdana" w:hAnsi="Verdana"/>
                <w:bCs/>
                <w:sz w:val="20"/>
                <w:szCs w:val="20"/>
                <w:lang w:val="nl-BE"/>
              </w:rPr>
              <w:t>patiënten &gt;75 jaar).</w:t>
            </w:r>
          </w:p>
          <w:p w14:paraId="690904C1" w14:textId="3DB8CD4B" w:rsidR="00043684" w:rsidRPr="0028539F" w:rsidRDefault="00043684" w:rsidP="00644D77">
            <w:pPr>
              <w:pStyle w:val="Default"/>
              <w:rPr>
                <w:rFonts w:ascii="Verdana" w:hAnsi="Verdana"/>
                <w:sz w:val="20"/>
                <w:szCs w:val="20"/>
                <w:lang w:val="nl-NL"/>
              </w:rPr>
            </w:pPr>
          </w:p>
        </w:tc>
      </w:tr>
      <w:tr w:rsidR="00CB1297" w14:paraId="0D55DB10" w14:textId="77777777" w:rsidTr="313298E9">
        <w:tc>
          <w:tcPr>
            <w:tcW w:w="1770" w:type="dxa"/>
          </w:tcPr>
          <w:p w14:paraId="4AFFBC27" w14:textId="77777777" w:rsidR="00CB1297" w:rsidRPr="00F240FC" w:rsidRDefault="00CB1297" w:rsidP="00CB1297">
            <w:pPr>
              <w:rPr>
                <w:rFonts w:ascii="Verdana" w:hAnsi="Verdana"/>
                <w:sz w:val="20"/>
                <w:szCs w:val="20"/>
              </w:rPr>
            </w:pPr>
            <w:r>
              <w:rPr>
                <w:rFonts w:ascii="Verdana" w:hAnsi="Verdana"/>
                <w:sz w:val="20"/>
                <w:szCs w:val="20"/>
              </w:rPr>
              <w:t>Kosten:</w:t>
            </w:r>
            <w:r w:rsidRPr="00F240FC">
              <w:rPr>
                <w:rFonts w:ascii="Verdana" w:hAnsi="Verdana"/>
                <w:sz w:val="20"/>
                <w:szCs w:val="20"/>
              </w:rPr>
              <w:t xml:space="preserve"> </w:t>
            </w:r>
          </w:p>
        </w:tc>
        <w:tc>
          <w:tcPr>
            <w:tcW w:w="7580" w:type="dxa"/>
          </w:tcPr>
          <w:p w14:paraId="4FE20E7E" w14:textId="7F0DD986" w:rsidR="00CB1297" w:rsidRPr="00A57F00" w:rsidRDefault="30B7DE51" w:rsidP="00CB1297">
            <w:pPr>
              <w:pStyle w:val="Default"/>
              <w:rPr>
                <w:rFonts w:ascii="Verdana" w:hAnsi="Verdana"/>
                <w:sz w:val="20"/>
                <w:szCs w:val="20"/>
                <w:lang w:val="nl-NL"/>
              </w:rPr>
            </w:pPr>
            <w:r w:rsidRPr="00A27B54">
              <w:rPr>
                <w:rFonts w:ascii="Verdana" w:eastAsia="Verdana" w:hAnsi="Verdana" w:cs="Verdana"/>
                <w:sz w:val="20"/>
                <w:szCs w:val="20"/>
                <w:lang w:val="nl"/>
              </w:rPr>
              <w:t>Per 1 september 2020 is Darzalex SC vergoed uit de basisverzekering en daarmee is deze vergoeding identiek aan de vergoeding voor Darzalex IV. De bestaande afspraken tussen Janssen en het ministerie van Volksgezondheid, Welzijn en Sport (VWS) waardoor Darzalex in het basispakket van de zorgverzekering is o</w:t>
            </w:r>
            <w:r w:rsidRPr="00A57F00">
              <w:rPr>
                <w:rFonts w:ascii="Verdana" w:eastAsia="Verdana" w:hAnsi="Verdana" w:cs="Verdana"/>
                <w:sz w:val="20"/>
                <w:szCs w:val="20"/>
                <w:lang w:val="nl"/>
              </w:rPr>
              <w:t>pgenomen, blijven van toepassing. Daarnaast blijft de afspraak tussen alle zorgverzekeraars, HOVON, de Nederlandse Vereniging voor Hematologie en Janssen van kracht dat Darzalex zonder financiële belemmering kan worden ingezet indien artsen conform de richtlijn behandelen en dat gegevens verzameld zullen worden om de behandeling in de praktijk te kunnen monitoren.</w:t>
            </w:r>
          </w:p>
          <w:p w14:paraId="2E52C7F3" w14:textId="77777777" w:rsidR="00CB1297" w:rsidRPr="00A27B54" w:rsidRDefault="00CB1297" w:rsidP="00CB1297">
            <w:pPr>
              <w:pStyle w:val="Default"/>
              <w:rPr>
                <w:rFonts w:ascii="Verdana" w:eastAsia="TTD70Do00" w:hAnsi="Verdana" w:cstheme="minorHAnsi"/>
                <w:sz w:val="20"/>
                <w:szCs w:val="20"/>
                <w:lang w:val="nl-NL"/>
              </w:rPr>
            </w:pPr>
          </w:p>
          <w:p w14:paraId="57A32EA8" w14:textId="379402AF" w:rsidR="008D4AB3" w:rsidRPr="008D4AB3" w:rsidRDefault="008D4AB3" w:rsidP="008D4AB3">
            <w:pPr>
              <w:rPr>
                <w:rFonts w:ascii="Verdana" w:hAnsi="Verdana"/>
                <w:sz w:val="20"/>
                <w:szCs w:val="20"/>
              </w:rPr>
            </w:pPr>
            <w:bookmarkStart w:id="0" w:name="_Hlk507401672"/>
            <w:r w:rsidRPr="008D4AB3">
              <w:rPr>
                <w:rFonts w:ascii="Verdana" w:hAnsi="Verdana"/>
                <w:sz w:val="20"/>
                <w:szCs w:val="20"/>
              </w:rPr>
              <w:t xml:space="preserve">De </w:t>
            </w:r>
            <w:r w:rsidRPr="000B4CC2">
              <w:rPr>
                <w:rFonts w:ascii="Verdana" w:hAnsi="Verdana"/>
                <w:sz w:val="20"/>
                <w:szCs w:val="20"/>
              </w:rPr>
              <w:t xml:space="preserve">huidige Apotheekinkoopprijs (AIP </w:t>
            </w:r>
            <w:r w:rsidR="000B4CC2" w:rsidRPr="000B4CC2">
              <w:rPr>
                <w:rFonts w:ascii="Verdana" w:hAnsi="Verdana"/>
                <w:sz w:val="20"/>
                <w:szCs w:val="20"/>
              </w:rPr>
              <w:t>juli 2023</w:t>
            </w:r>
            <w:r w:rsidRPr="000B4CC2">
              <w:rPr>
                <w:rFonts w:ascii="Verdana" w:hAnsi="Verdana"/>
                <w:sz w:val="20"/>
                <w:szCs w:val="20"/>
              </w:rPr>
              <w:t>) van Darzalex bedraagt €4.</w:t>
            </w:r>
            <w:r w:rsidR="000B4CC2" w:rsidRPr="000B4CC2">
              <w:rPr>
                <w:rFonts w:ascii="Verdana" w:hAnsi="Verdana"/>
                <w:sz w:val="20"/>
                <w:szCs w:val="20"/>
              </w:rPr>
              <w:t>766,20</w:t>
            </w:r>
            <w:r w:rsidRPr="000B4CC2">
              <w:rPr>
                <w:rFonts w:ascii="Verdana" w:hAnsi="Verdana"/>
                <w:sz w:val="20"/>
                <w:szCs w:val="20"/>
              </w:rPr>
              <w:t xml:space="preserve"> per injectieflacon</w:t>
            </w:r>
            <w:r w:rsidRPr="008D4AB3">
              <w:rPr>
                <w:rFonts w:ascii="Verdana" w:hAnsi="Verdana"/>
                <w:sz w:val="20"/>
                <w:szCs w:val="20"/>
              </w:rPr>
              <w:t xml:space="preserve"> van 15 ml met 1800 mg Darzalex. Per subcutane administratie wordt een flacon Darzalex (1800 mg Darzalex) gebruikt. Over de prijs van Darzalex is op advies van het Zorginstituut onderhandeld tussen Janssen en het ministerie van VWS. Over de confidentiële korting die Janssen met VWS is overeengekomen, kan geen informatie worden gegeven.</w:t>
            </w:r>
          </w:p>
          <w:p w14:paraId="2A41CBEF" w14:textId="3AA652ED" w:rsidR="008D4AB3" w:rsidRDefault="008D4AB3" w:rsidP="008D4AB3">
            <w:pPr>
              <w:rPr>
                <w:rFonts w:ascii="Verdana" w:hAnsi="Verdana"/>
                <w:sz w:val="20"/>
                <w:szCs w:val="20"/>
              </w:rPr>
            </w:pPr>
            <w:r w:rsidRPr="008D4AB3">
              <w:rPr>
                <w:rFonts w:ascii="Verdana" w:hAnsi="Verdana"/>
                <w:sz w:val="20"/>
                <w:szCs w:val="20"/>
              </w:rPr>
              <w:t xml:space="preserve"> </w:t>
            </w:r>
          </w:p>
          <w:p w14:paraId="39394EB1" w14:textId="77777777" w:rsidR="008D4AB3" w:rsidRPr="008D4AB3" w:rsidRDefault="008D4AB3" w:rsidP="008D4AB3">
            <w:pPr>
              <w:rPr>
                <w:rFonts w:ascii="Verdana" w:hAnsi="Verdana"/>
                <w:sz w:val="20"/>
                <w:szCs w:val="20"/>
              </w:rPr>
            </w:pPr>
            <w:r w:rsidRPr="008D4AB3">
              <w:rPr>
                <w:rFonts w:ascii="Verdana" w:hAnsi="Verdana"/>
                <w:sz w:val="20"/>
                <w:szCs w:val="20"/>
              </w:rPr>
              <w:lastRenderedPageBreak/>
              <w:t>De behandeling dient te worden voortgezet tot de ziekte progressief wordt of tot de behandeling niet langer door de patiënt wordt verdragen:</w:t>
            </w:r>
          </w:p>
          <w:p w14:paraId="668C9EFC" w14:textId="77777777" w:rsidR="008D4AB3" w:rsidRPr="008D4AB3" w:rsidRDefault="008D4AB3" w:rsidP="008D4AB3">
            <w:pPr>
              <w:rPr>
                <w:rFonts w:ascii="Verdana" w:hAnsi="Verdana"/>
                <w:sz w:val="20"/>
                <w:szCs w:val="20"/>
              </w:rPr>
            </w:pPr>
            <w:r w:rsidRPr="008D4AB3">
              <w:rPr>
                <w:rFonts w:ascii="Verdana" w:hAnsi="Verdana"/>
                <w:sz w:val="20"/>
                <w:szCs w:val="20"/>
              </w:rPr>
              <w:t>- Injecties in het eerste jaar = 8xQW + 8xQ2W + 7xQ4W = 23 injecties</w:t>
            </w:r>
          </w:p>
          <w:p w14:paraId="6A33A116" w14:textId="3BBC1CB6" w:rsidR="3279F48D" w:rsidRPr="00A57F00" w:rsidRDefault="008D4AB3" w:rsidP="008D4AB3">
            <w:pPr>
              <w:rPr>
                <w:rFonts w:ascii="Verdana" w:hAnsi="Verdana"/>
                <w:sz w:val="20"/>
                <w:szCs w:val="20"/>
              </w:rPr>
            </w:pPr>
            <w:r w:rsidRPr="008D4AB3">
              <w:rPr>
                <w:rFonts w:ascii="Verdana" w:hAnsi="Verdana"/>
                <w:sz w:val="20"/>
                <w:szCs w:val="20"/>
              </w:rPr>
              <w:t>- Injecties in 2e en latere jaren = 13xQ4W = 13 injecties</w:t>
            </w:r>
          </w:p>
          <w:bookmarkEnd w:id="0"/>
          <w:p w14:paraId="7051CDEC" w14:textId="391FF49E" w:rsidR="00CB1297" w:rsidRPr="00A57F00" w:rsidRDefault="00CB1297" w:rsidP="313298E9">
            <w:pPr>
              <w:rPr>
                <w:rFonts w:ascii="Verdana" w:eastAsia="Verdana" w:hAnsi="Verdana" w:cs="Verdana"/>
                <w:sz w:val="20"/>
                <w:szCs w:val="20"/>
              </w:rPr>
            </w:pPr>
          </w:p>
        </w:tc>
      </w:tr>
      <w:tr w:rsidR="00CB1297" w14:paraId="60870175" w14:textId="77777777" w:rsidTr="313298E9">
        <w:tc>
          <w:tcPr>
            <w:tcW w:w="1770" w:type="dxa"/>
          </w:tcPr>
          <w:p w14:paraId="31C19FE6" w14:textId="77777777" w:rsidR="00CB1297" w:rsidRPr="00F240FC" w:rsidRDefault="00CB1297" w:rsidP="00CB1297">
            <w:pPr>
              <w:rPr>
                <w:rFonts w:ascii="Verdana" w:hAnsi="Verdana"/>
                <w:sz w:val="20"/>
                <w:szCs w:val="20"/>
              </w:rPr>
            </w:pPr>
            <w:r w:rsidRPr="00F240FC">
              <w:rPr>
                <w:rFonts w:ascii="Verdana" w:hAnsi="Verdana"/>
                <w:sz w:val="20"/>
                <w:szCs w:val="20"/>
              </w:rPr>
              <w:lastRenderedPageBreak/>
              <w:t>Geschat aantal patiënten per jaar:</w:t>
            </w:r>
          </w:p>
        </w:tc>
        <w:tc>
          <w:tcPr>
            <w:tcW w:w="7580" w:type="dxa"/>
          </w:tcPr>
          <w:p w14:paraId="6C1FFF09" w14:textId="77777777" w:rsidR="00CB1297" w:rsidRDefault="00CB1297" w:rsidP="00CB1297">
            <w:pPr>
              <w:pStyle w:val="Default"/>
              <w:rPr>
                <w:lang w:val="nl-NL"/>
              </w:rPr>
            </w:pPr>
          </w:p>
          <w:p w14:paraId="2287FD39" w14:textId="77777777" w:rsidR="00CB1297" w:rsidRDefault="00CB1297" w:rsidP="00CB1297">
            <w:pPr>
              <w:rPr>
                <w:rFonts w:ascii="Verdana" w:hAnsi="Verdana"/>
                <w:sz w:val="20"/>
                <w:szCs w:val="20"/>
              </w:rPr>
            </w:pPr>
            <w:r>
              <w:rPr>
                <w:rFonts w:ascii="Verdana" w:hAnsi="Verdana"/>
                <w:sz w:val="20"/>
                <w:szCs w:val="20"/>
              </w:rPr>
              <w:t> </w:t>
            </w:r>
          </w:p>
          <w:p w14:paraId="560A3E69" w14:textId="77777777" w:rsidR="00CB1297" w:rsidRDefault="00CB1297" w:rsidP="00CB1297">
            <w:pPr>
              <w:rPr>
                <w:rFonts w:ascii="Verdana" w:hAnsi="Verdana"/>
                <w:sz w:val="20"/>
                <w:szCs w:val="20"/>
              </w:rPr>
            </w:pPr>
          </w:p>
          <w:p w14:paraId="62091FA7" w14:textId="77777777" w:rsidR="00CB1297" w:rsidRDefault="00CB1297" w:rsidP="00CB1297">
            <w:pPr>
              <w:rPr>
                <w:rFonts w:ascii="Verdana" w:hAnsi="Verdana"/>
                <w:sz w:val="20"/>
                <w:szCs w:val="20"/>
              </w:rPr>
            </w:pPr>
          </w:p>
          <w:p w14:paraId="13103DE3" w14:textId="77777777" w:rsidR="00CB1297" w:rsidRDefault="00CB1297" w:rsidP="00CB1297">
            <w:pPr>
              <w:rPr>
                <w:rFonts w:ascii="Verdana" w:hAnsi="Verdana"/>
                <w:sz w:val="20"/>
                <w:szCs w:val="20"/>
              </w:rPr>
            </w:pPr>
          </w:p>
          <w:p w14:paraId="7122D65F" w14:textId="77777777" w:rsidR="00CB1297" w:rsidRPr="00F240FC" w:rsidRDefault="00CB1297" w:rsidP="00CB1297">
            <w:pPr>
              <w:rPr>
                <w:rFonts w:ascii="Verdana" w:hAnsi="Verdana"/>
                <w:sz w:val="20"/>
                <w:szCs w:val="20"/>
              </w:rPr>
            </w:pPr>
          </w:p>
        </w:tc>
      </w:tr>
      <w:tr w:rsidR="00CB1297" w14:paraId="3466D186" w14:textId="77777777" w:rsidTr="313298E9">
        <w:tc>
          <w:tcPr>
            <w:tcW w:w="1770" w:type="dxa"/>
          </w:tcPr>
          <w:p w14:paraId="364FC497" w14:textId="77777777" w:rsidR="00CB1297" w:rsidRPr="00F240FC" w:rsidRDefault="00CB1297" w:rsidP="00CB1297">
            <w:pPr>
              <w:rPr>
                <w:rFonts w:ascii="Verdana" w:hAnsi="Verdana"/>
                <w:sz w:val="20"/>
                <w:szCs w:val="20"/>
              </w:rPr>
            </w:pPr>
            <w:r w:rsidRPr="00F240FC">
              <w:rPr>
                <w:rFonts w:ascii="Verdana" w:hAnsi="Verdana"/>
                <w:sz w:val="20"/>
                <w:szCs w:val="20"/>
              </w:rPr>
              <w:br w:type="page"/>
              <w:t>Motivering waarom dit middel toegelaten zou moeten worden:</w:t>
            </w:r>
          </w:p>
        </w:tc>
        <w:tc>
          <w:tcPr>
            <w:tcW w:w="7580" w:type="dxa"/>
          </w:tcPr>
          <w:p w14:paraId="496F6F0E" w14:textId="77777777" w:rsidR="00CB1297" w:rsidRDefault="00F406A7" w:rsidP="313298E9">
            <w:pPr>
              <w:pStyle w:val="Default"/>
              <w:rPr>
                <w:rFonts w:ascii="Verdana" w:eastAsia="Verdana" w:hAnsi="Verdana" w:cs="Verdana"/>
                <w:color w:val="000000" w:themeColor="text1"/>
                <w:sz w:val="20"/>
                <w:szCs w:val="20"/>
                <w:lang w:val="nl-NL"/>
              </w:rPr>
            </w:pPr>
            <w:r w:rsidRPr="106B9772">
              <w:rPr>
                <w:rFonts w:ascii="Verdana" w:eastAsia="Verdana" w:hAnsi="Verdana" w:cs="Verdana"/>
                <w:color w:val="000000" w:themeColor="text1"/>
                <w:sz w:val="20"/>
                <w:szCs w:val="20"/>
                <w:lang w:val="nl-NL"/>
              </w:rPr>
              <w:t>Darzalex SC heeft een vergelijkbare effectiviteit (non-inferior) als Darzalex IV laten zien en een gunstig veiligheidsprofiel. Het aantal infusie</w:t>
            </w:r>
            <w:r>
              <w:rPr>
                <w:rFonts w:ascii="Verdana" w:eastAsia="Verdana" w:hAnsi="Verdana" w:cs="Verdana"/>
                <w:color w:val="000000" w:themeColor="text1"/>
                <w:sz w:val="20"/>
                <w:szCs w:val="20"/>
                <w:lang w:val="nl-NL"/>
              </w:rPr>
              <w:t>-</w:t>
            </w:r>
            <w:r w:rsidRPr="106B9772">
              <w:rPr>
                <w:rFonts w:ascii="Verdana" w:eastAsia="Verdana" w:hAnsi="Verdana" w:cs="Verdana"/>
                <w:color w:val="000000" w:themeColor="text1"/>
                <w:sz w:val="20"/>
                <w:szCs w:val="20"/>
                <w:lang w:val="nl-NL"/>
              </w:rPr>
              <w:t xml:space="preserve">gerelateerde reacties is significant minder bij een subcutane toediening van Darzalex. Bovendien is de duur van de subcutane toediening significant korter waardoor de patiënt minder lang </w:t>
            </w:r>
            <w:r w:rsidRPr="00C802A3">
              <w:rPr>
                <w:rFonts w:ascii="Verdana" w:eastAsia="Verdana" w:hAnsi="Verdana" w:cs="Verdana"/>
                <w:color w:val="000000" w:themeColor="text1"/>
                <w:sz w:val="20"/>
                <w:szCs w:val="20"/>
                <w:lang w:val="nl-NL"/>
              </w:rPr>
              <w:t>in het ziekenhuis hoeft te zijn en de capaciteit van de dagbehandeling anders kan worden benut.</w:t>
            </w:r>
          </w:p>
          <w:p w14:paraId="6F9EA683" w14:textId="1CAA3993" w:rsidR="00043684" w:rsidRPr="00F240FC" w:rsidRDefault="00043684" w:rsidP="313298E9">
            <w:pPr>
              <w:pStyle w:val="Default"/>
              <w:rPr>
                <w:rFonts w:ascii="Verdana" w:eastAsia="Verdana" w:hAnsi="Verdana" w:cs="Verdana"/>
                <w:sz w:val="20"/>
                <w:szCs w:val="20"/>
                <w:lang w:val="nl-NL"/>
              </w:rPr>
            </w:pPr>
          </w:p>
        </w:tc>
      </w:tr>
    </w:tbl>
    <w:p w14:paraId="29AF5A8A" w14:textId="77777777" w:rsidR="00270B2C" w:rsidRPr="00036A79" w:rsidRDefault="00270B2C">
      <w:pPr>
        <w:rPr>
          <w:rFonts w:ascii="Verdana" w:hAnsi="Verdana"/>
          <w:b/>
          <w:sz w:val="16"/>
          <w:szCs w:val="16"/>
          <w:lang w:val="en-US"/>
        </w:rPr>
      </w:pPr>
      <w:proofErr w:type="spellStart"/>
      <w:r w:rsidRPr="00036A79">
        <w:rPr>
          <w:rFonts w:ascii="Verdana" w:hAnsi="Verdana"/>
          <w:b/>
          <w:sz w:val="16"/>
          <w:szCs w:val="16"/>
          <w:lang w:val="en-US"/>
        </w:rPr>
        <w:t>Referenties</w:t>
      </w:r>
      <w:proofErr w:type="spellEnd"/>
      <w:r w:rsidRPr="00036A79">
        <w:rPr>
          <w:rFonts w:ascii="Verdana" w:hAnsi="Verdana"/>
          <w:b/>
          <w:sz w:val="16"/>
          <w:szCs w:val="16"/>
          <w:lang w:val="en-US"/>
        </w:rPr>
        <w:t>:</w:t>
      </w:r>
    </w:p>
    <w:p w14:paraId="47312F8F" w14:textId="77777777" w:rsidR="00270B2C" w:rsidRPr="00036A79" w:rsidRDefault="00270B2C">
      <w:pPr>
        <w:rPr>
          <w:rFonts w:ascii="Verdana" w:hAnsi="Verdana"/>
          <w:b/>
          <w:sz w:val="20"/>
          <w:szCs w:val="20"/>
          <w:lang w:val="en-US"/>
        </w:rPr>
      </w:pPr>
    </w:p>
    <w:p w14:paraId="4317FF0F" w14:textId="27E6E3D3" w:rsidR="0020040B" w:rsidRDefault="0020040B" w:rsidP="0020040B">
      <w:pPr>
        <w:rPr>
          <w:rFonts w:ascii="Verdana" w:eastAsia="Verdana" w:hAnsi="Verdana" w:cs="Verdana"/>
          <w:sz w:val="16"/>
          <w:szCs w:val="16"/>
          <w:lang w:val="en-US"/>
        </w:rPr>
      </w:pPr>
      <w:r w:rsidRPr="00036A79">
        <w:rPr>
          <w:rFonts w:ascii="Verdana" w:eastAsia="Verdana" w:hAnsi="Verdana" w:cs="Verdana"/>
          <w:sz w:val="16"/>
          <w:szCs w:val="16"/>
          <w:vertAlign w:val="superscript"/>
          <w:lang w:val="en-US"/>
        </w:rPr>
        <w:t xml:space="preserve">1 </w:t>
      </w:r>
      <w:r w:rsidRPr="00036A79">
        <w:rPr>
          <w:rFonts w:ascii="Verdana" w:eastAsia="Verdana" w:hAnsi="Verdana" w:cs="Verdana"/>
          <w:sz w:val="16"/>
          <w:szCs w:val="16"/>
          <w:lang w:val="en-US"/>
        </w:rPr>
        <w:t>SmPC Darzalex (daratumumab)</w:t>
      </w:r>
    </w:p>
    <w:p w14:paraId="3A1370AA" w14:textId="77777777" w:rsidR="000D1762" w:rsidRDefault="000D1762" w:rsidP="000D1762">
      <w:pPr>
        <w:rPr>
          <w:rFonts w:ascii="Verdana" w:eastAsia="Verdana" w:hAnsi="Verdana" w:cs="Verdana"/>
          <w:sz w:val="16"/>
          <w:szCs w:val="16"/>
          <w:lang w:val="en-US"/>
        </w:rPr>
      </w:pPr>
      <w:r>
        <w:rPr>
          <w:rFonts w:ascii="Verdana" w:eastAsia="Verdana" w:hAnsi="Verdana" w:cs="Verdana"/>
          <w:sz w:val="16"/>
          <w:szCs w:val="16"/>
          <w:vertAlign w:val="superscript"/>
          <w:lang w:val="en-US"/>
        </w:rPr>
        <w:t xml:space="preserve">2 </w:t>
      </w:r>
      <w:proofErr w:type="spellStart"/>
      <w:r w:rsidRPr="00255252">
        <w:rPr>
          <w:rFonts w:ascii="Verdana" w:eastAsia="Verdana" w:hAnsi="Verdana" w:cs="Verdana"/>
          <w:sz w:val="16"/>
          <w:szCs w:val="16"/>
          <w:lang w:val="en-US"/>
        </w:rPr>
        <w:t>Facon</w:t>
      </w:r>
      <w:proofErr w:type="spellEnd"/>
      <w:r w:rsidRPr="00255252">
        <w:rPr>
          <w:rFonts w:ascii="Verdana" w:eastAsia="Verdana" w:hAnsi="Verdana" w:cs="Verdana"/>
          <w:sz w:val="16"/>
          <w:szCs w:val="16"/>
          <w:lang w:val="en-US"/>
        </w:rPr>
        <w:t xml:space="preserve"> T, </w:t>
      </w:r>
      <w:r>
        <w:rPr>
          <w:rFonts w:ascii="Verdana" w:eastAsia="Verdana" w:hAnsi="Verdana" w:cs="Verdana"/>
          <w:sz w:val="16"/>
          <w:szCs w:val="16"/>
          <w:lang w:val="en-US"/>
        </w:rPr>
        <w:t>et al.</w:t>
      </w:r>
      <w:r w:rsidRPr="00255252">
        <w:rPr>
          <w:rFonts w:ascii="Verdana" w:eastAsia="Verdana" w:hAnsi="Verdana" w:cs="Verdana"/>
          <w:sz w:val="16"/>
          <w:szCs w:val="16"/>
          <w:lang w:val="en-US"/>
        </w:rPr>
        <w:t xml:space="preserve"> Daratumumab plus Lenalidomide and Dexamethasone for Untreated Myeloma. N </w:t>
      </w:r>
      <w:proofErr w:type="spellStart"/>
      <w:r w:rsidRPr="00255252">
        <w:rPr>
          <w:rFonts w:ascii="Verdana" w:eastAsia="Verdana" w:hAnsi="Verdana" w:cs="Verdana"/>
          <w:sz w:val="16"/>
          <w:szCs w:val="16"/>
          <w:lang w:val="en-US"/>
        </w:rPr>
        <w:t>Engl</w:t>
      </w:r>
      <w:proofErr w:type="spellEnd"/>
      <w:r w:rsidRPr="00255252">
        <w:rPr>
          <w:rFonts w:ascii="Verdana" w:eastAsia="Verdana" w:hAnsi="Verdana" w:cs="Verdana"/>
          <w:sz w:val="16"/>
          <w:szCs w:val="16"/>
          <w:lang w:val="en-US"/>
        </w:rPr>
        <w:t xml:space="preserve"> J Med. 2019 May 30;380(22):2104-2115.</w:t>
      </w:r>
    </w:p>
    <w:p w14:paraId="27158F0C" w14:textId="77777777" w:rsidR="000D1762" w:rsidRPr="009849B7" w:rsidRDefault="000D1762" w:rsidP="000D1762">
      <w:pPr>
        <w:rPr>
          <w:rFonts w:ascii="Verdana" w:eastAsia="Verdana" w:hAnsi="Verdana" w:cs="Verdana"/>
          <w:sz w:val="16"/>
          <w:szCs w:val="16"/>
          <w:lang w:val="en-US"/>
        </w:rPr>
      </w:pPr>
      <w:r>
        <w:rPr>
          <w:rFonts w:ascii="Verdana" w:eastAsia="Verdana" w:hAnsi="Verdana" w:cs="Verdana"/>
          <w:sz w:val="16"/>
          <w:szCs w:val="16"/>
          <w:vertAlign w:val="superscript"/>
          <w:lang w:val="en-US"/>
        </w:rPr>
        <w:t>3</w:t>
      </w:r>
      <w:r w:rsidRPr="009849B7">
        <w:rPr>
          <w:rFonts w:ascii="Verdana" w:eastAsia="Verdana" w:hAnsi="Verdana" w:cs="Verdana"/>
          <w:sz w:val="16"/>
          <w:szCs w:val="16"/>
          <w:lang w:val="en-US"/>
        </w:rPr>
        <w:t xml:space="preserve"> </w:t>
      </w:r>
      <w:proofErr w:type="spellStart"/>
      <w:r w:rsidRPr="009849B7">
        <w:rPr>
          <w:rFonts w:ascii="Verdana" w:eastAsia="Verdana" w:hAnsi="Verdana" w:cs="Verdana"/>
          <w:sz w:val="16"/>
          <w:szCs w:val="16"/>
          <w:lang w:val="en-US"/>
        </w:rPr>
        <w:t>Mateos</w:t>
      </w:r>
      <w:proofErr w:type="spellEnd"/>
      <w:r w:rsidRPr="009849B7">
        <w:rPr>
          <w:rFonts w:ascii="Verdana" w:eastAsia="Verdana" w:hAnsi="Verdana" w:cs="Verdana"/>
          <w:sz w:val="16"/>
          <w:szCs w:val="16"/>
          <w:lang w:val="en-US"/>
        </w:rPr>
        <w:t xml:space="preserve"> et al. Daratumumab plus Bortezomib, Melphalan, and Prednisone for Untreated Myeloma. N </w:t>
      </w:r>
      <w:proofErr w:type="spellStart"/>
      <w:r w:rsidRPr="009849B7">
        <w:rPr>
          <w:rFonts w:ascii="Verdana" w:eastAsia="Verdana" w:hAnsi="Verdana" w:cs="Verdana"/>
          <w:sz w:val="16"/>
          <w:szCs w:val="16"/>
          <w:lang w:val="en-US"/>
        </w:rPr>
        <w:t>Engl</w:t>
      </w:r>
      <w:proofErr w:type="spellEnd"/>
      <w:r w:rsidRPr="009849B7">
        <w:rPr>
          <w:rFonts w:ascii="Verdana" w:eastAsia="Verdana" w:hAnsi="Verdana" w:cs="Verdana"/>
          <w:sz w:val="16"/>
          <w:szCs w:val="16"/>
          <w:lang w:val="en-US"/>
        </w:rPr>
        <w:t xml:space="preserve"> J Med 2018;378:518-28.</w:t>
      </w:r>
    </w:p>
    <w:p w14:paraId="32A2071B" w14:textId="77777777" w:rsidR="000D1762" w:rsidRPr="0020040B" w:rsidRDefault="000D1762" w:rsidP="000D1762">
      <w:pPr>
        <w:rPr>
          <w:rFonts w:ascii="Verdana" w:eastAsia="Verdana" w:hAnsi="Verdana" w:cs="Verdana"/>
          <w:sz w:val="16"/>
          <w:szCs w:val="16"/>
          <w:lang w:val="en-US"/>
        </w:rPr>
      </w:pPr>
      <w:r>
        <w:rPr>
          <w:rFonts w:ascii="Verdana" w:eastAsia="Verdana" w:hAnsi="Verdana" w:cs="Verdana"/>
          <w:sz w:val="16"/>
          <w:szCs w:val="16"/>
          <w:vertAlign w:val="superscript"/>
          <w:lang w:val="en-US"/>
        </w:rPr>
        <w:t xml:space="preserve">4 </w:t>
      </w:r>
      <w:r w:rsidRPr="00255252">
        <w:rPr>
          <w:rFonts w:ascii="Verdana" w:eastAsia="Verdana" w:hAnsi="Verdana" w:cs="Verdana"/>
          <w:sz w:val="16"/>
          <w:szCs w:val="16"/>
          <w:lang w:val="en-US"/>
        </w:rPr>
        <w:t xml:space="preserve">Moreau P, </w:t>
      </w:r>
      <w:r>
        <w:rPr>
          <w:rFonts w:ascii="Verdana" w:eastAsia="Verdana" w:hAnsi="Verdana" w:cs="Verdana"/>
          <w:sz w:val="16"/>
          <w:szCs w:val="16"/>
          <w:lang w:val="en-US"/>
        </w:rPr>
        <w:t xml:space="preserve">et al. </w:t>
      </w:r>
      <w:r w:rsidRPr="00255252">
        <w:rPr>
          <w:rFonts w:ascii="Verdana" w:eastAsia="Verdana" w:hAnsi="Verdana" w:cs="Verdana"/>
          <w:sz w:val="16"/>
          <w:szCs w:val="16"/>
          <w:lang w:val="en-US"/>
        </w:rPr>
        <w:t xml:space="preserve">Bortezomib, thalidomide, and dexamethasone with or without daratumumab before and after autologous stem-cell transplantation for newly diagnosed multiple myeloma (CASSIOPEIA): a </w:t>
      </w:r>
      <w:proofErr w:type="spellStart"/>
      <w:r w:rsidRPr="00255252">
        <w:rPr>
          <w:rFonts w:ascii="Verdana" w:eastAsia="Verdana" w:hAnsi="Verdana" w:cs="Verdana"/>
          <w:sz w:val="16"/>
          <w:szCs w:val="16"/>
          <w:lang w:val="en-US"/>
        </w:rPr>
        <w:t>randomised</w:t>
      </w:r>
      <w:proofErr w:type="spellEnd"/>
      <w:r w:rsidRPr="00255252">
        <w:rPr>
          <w:rFonts w:ascii="Verdana" w:eastAsia="Verdana" w:hAnsi="Verdana" w:cs="Verdana"/>
          <w:sz w:val="16"/>
          <w:szCs w:val="16"/>
          <w:lang w:val="en-US"/>
        </w:rPr>
        <w:t xml:space="preserve">, open-label, phase 3 study. </w:t>
      </w:r>
      <w:r w:rsidRPr="0020040B">
        <w:rPr>
          <w:rFonts w:ascii="Verdana" w:eastAsia="Verdana" w:hAnsi="Verdana" w:cs="Verdana"/>
          <w:sz w:val="16"/>
          <w:szCs w:val="16"/>
          <w:lang w:val="en-US"/>
        </w:rPr>
        <w:t xml:space="preserve">Lancet. 2019 Jul 6;394(10192):29-38. </w:t>
      </w:r>
    </w:p>
    <w:p w14:paraId="0AA0C476" w14:textId="67BC5DD3" w:rsidR="0020040B" w:rsidRPr="000B4CC2" w:rsidRDefault="000D1762" w:rsidP="0020040B">
      <w:pPr>
        <w:rPr>
          <w:rFonts w:ascii="Verdana" w:eastAsia="Verdana" w:hAnsi="Verdana" w:cs="Verdana"/>
          <w:sz w:val="16"/>
          <w:szCs w:val="16"/>
          <w:lang w:val="en-US"/>
        </w:rPr>
      </w:pPr>
      <w:r>
        <w:rPr>
          <w:rFonts w:ascii="Verdana" w:eastAsia="Verdana" w:hAnsi="Verdana" w:cs="Verdana"/>
          <w:sz w:val="16"/>
          <w:szCs w:val="16"/>
          <w:vertAlign w:val="superscript"/>
          <w:lang w:val="en-US"/>
        </w:rPr>
        <w:t>5</w:t>
      </w:r>
      <w:r w:rsidR="0020040B" w:rsidRPr="00036A79">
        <w:rPr>
          <w:rFonts w:ascii="Verdana" w:eastAsia="Verdana" w:hAnsi="Verdana" w:cs="Verdana"/>
          <w:sz w:val="16"/>
          <w:szCs w:val="16"/>
          <w:lang w:val="en-US"/>
        </w:rPr>
        <w:t xml:space="preserve"> </w:t>
      </w:r>
      <w:proofErr w:type="spellStart"/>
      <w:r w:rsidR="0020040B" w:rsidRPr="00036A79">
        <w:rPr>
          <w:rFonts w:ascii="Verdana" w:eastAsia="Verdana" w:hAnsi="Verdana" w:cs="Verdana"/>
          <w:sz w:val="16"/>
          <w:szCs w:val="16"/>
          <w:lang w:val="en-US"/>
        </w:rPr>
        <w:t>Dimopoulos</w:t>
      </w:r>
      <w:proofErr w:type="spellEnd"/>
      <w:r w:rsidR="0020040B" w:rsidRPr="00036A79">
        <w:rPr>
          <w:rFonts w:ascii="Verdana" w:eastAsia="Verdana" w:hAnsi="Verdana" w:cs="Verdana"/>
          <w:sz w:val="16"/>
          <w:szCs w:val="16"/>
          <w:lang w:val="en-US"/>
        </w:rPr>
        <w:t xml:space="preserve"> MA, et al. Daratumumab, Lenalidomide, and Dexamethasone for Multiple Myeloma. </w:t>
      </w:r>
      <w:r w:rsidR="0020040B" w:rsidRPr="000B4CC2">
        <w:rPr>
          <w:rFonts w:ascii="Verdana" w:eastAsia="Verdana" w:hAnsi="Verdana" w:cs="Verdana"/>
          <w:sz w:val="16"/>
          <w:szCs w:val="16"/>
          <w:lang w:val="en-US"/>
        </w:rPr>
        <w:t xml:space="preserve">N </w:t>
      </w:r>
      <w:proofErr w:type="spellStart"/>
      <w:r w:rsidR="0020040B" w:rsidRPr="000B4CC2">
        <w:rPr>
          <w:rFonts w:ascii="Verdana" w:eastAsia="Verdana" w:hAnsi="Verdana" w:cs="Verdana"/>
          <w:sz w:val="16"/>
          <w:szCs w:val="16"/>
          <w:lang w:val="en-US"/>
        </w:rPr>
        <w:t>Engl</w:t>
      </w:r>
      <w:proofErr w:type="spellEnd"/>
      <w:r w:rsidR="0020040B" w:rsidRPr="000B4CC2">
        <w:rPr>
          <w:rFonts w:ascii="Verdana" w:eastAsia="Verdana" w:hAnsi="Verdana" w:cs="Verdana"/>
          <w:sz w:val="16"/>
          <w:szCs w:val="16"/>
          <w:lang w:val="en-US"/>
        </w:rPr>
        <w:t xml:space="preserve"> J Med 2016;375:1319-31.</w:t>
      </w:r>
    </w:p>
    <w:p w14:paraId="549D8675" w14:textId="7FCF94F4" w:rsidR="0020040B" w:rsidRPr="009849B7" w:rsidRDefault="000D1762" w:rsidP="0020040B">
      <w:pPr>
        <w:rPr>
          <w:rFonts w:ascii="Verdana" w:eastAsia="Verdana" w:hAnsi="Verdana" w:cs="Verdana"/>
          <w:sz w:val="16"/>
          <w:szCs w:val="16"/>
          <w:lang w:val="en-US"/>
        </w:rPr>
      </w:pPr>
      <w:r>
        <w:rPr>
          <w:rFonts w:ascii="Verdana" w:eastAsia="Verdana" w:hAnsi="Verdana" w:cs="Verdana"/>
          <w:sz w:val="16"/>
          <w:szCs w:val="16"/>
          <w:vertAlign w:val="superscript"/>
          <w:lang w:val="en-US"/>
        </w:rPr>
        <w:t>6</w:t>
      </w:r>
      <w:r w:rsidR="0020040B" w:rsidRPr="00036A79">
        <w:rPr>
          <w:rFonts w:ascii="Verdana" w:eastAsia="Verdana" w:hAnsi="Verdana" w:cs="Verdana"/>
          <w:sz w:val="16"/>
          <w:szCs w:val="16"/>
          <w:vertAlign w:val="superscript"/>
          <w:lang w:val="en-US"/>
        </w:rPr>
        <w:t xml:space="preserve"> </w:t>
      </w:r>
      <w:r w:rsidR="0020040B" w:rsidRPr="00036A79">
        <w:rPr>
          <w:rFonts w:ascii="Verdana" w:eastAsia="Verdana" w:hAnsi="Verdana" w:cs="Verdana"/>
          <w:sz w:val="16"/>
          <w:szCs w:val="16"/>
          <w:lang w:val="en-US"/>
        </w:rPr>
        <w:t xml:space="preserve">Palumbo A, et al. </w:t>
      </w:r>
      <w:r w:rsidR="0020040B" w:rsidRPr="009849B7">
        <w:rPr>
          <w:rFonts w:ascii="Verdana" w:eastAsia="Verdana" w:hAnsi="Verdana" w:cs="Verdana"/>
          <w:sz w:val="16"/>
          <w:szCs w:val="16"/>
          <w:lang w:val="en-US"/>
        </w:rPr>
        <w:t xml:space="preserve">Daratumumab, Bortezomib, and Dexamethasone for Multiple Myeloma. N </w:t>
      </w:r>
      <w:proofErr w:type="spellStart"/>
      <w:r w:rsidR="0020040B" w:rsidRPr="009849B7">
        <w:rPr>
          <w:rFonts w:ascii="Verdana" w:eastAsia="Verdana" w:hAnsi="Verdana" w:cs="Verdana"/>
          <w:sz w:val="16"/>
          <w:szCs w:val="16"/>
          <w:lang w:val="en-US"/>
        </w:rPr>
        <w:t>Engl</w:t>
      </w:r>
      <w:proofErr w:type="spellEnd"/>
      <w:r w:rsidR="0020040B" w:rsidRPr="009849B7">
        <w:rPr>
          <w:rFonts w:ascii="Verdana" w:eastAsia="Verdana" w:hAnsi="Verdana" w:cs="Verdana"/>
          <w:sz w:val="16"/>
          <w:szCs w:val="16"/>
          <w:lang w:val="en-US"/>
        </w:rPr>
        <w:t xml:space="preserve"> J Med 2016;375:754-66.</w:t>
      </w:r>
    </w:p>
    <w:p w14:paraId="41F5D113" w14:textId="77777777" w:rsidR="000D1762" w:rsidRPr="00BC4DB6" w:rsidRDefault="000D1762" w:rsidP="000D1762">
      <w:pPr>
        <w:rPr>
          <w:rFonts w:ascii="Verdana" w:eastAsia="Verdana" w:hAnsi="Verdana" w:cs="Verdana"/>
          <w:sz w:val="16"/>
          <w:szCs w:val="16"/>
          <w:lang w:val="en-US"/>
        </w:rPr>
      </w:pPr>
      <w:r>
        <w:rPr>
          <w:rFonts w:ascii="Verdana" w:eastAsia="Verdana" w:hAnsi="Verdana" w:cs="Verdana"/>
          <w:sz w:val="16"/>
          <w:szCs w:val="16"/>
          <w:vertAlign w:val="superscript"/>
          <w:lang w:val="en-US"/>
        </w:rPr>
        <w:t>7</w:t>
      </w:r>
      <w:r w:rsidRPr="00435F35">
        <w:rPr>
          <w:rFonts w:ascii="Verdana" w:eastAsia="Verdana" w:hAnsi="Verdana" w:cs="Verdana"/>
          <w:sz w:val="16"/>
          <w:szCs w:val="16"/>
          <w:vertAlign w:val="superscript"/>
          <w:lang w:val="en-US"/>
        </w:rPr>
        <w:t xml:space="preserve"> </w:t>
      </w:r>
      <w:proofErr w:type="spellStart"/>
      <w:r w:rsidRPr="00435F35">
        <w:rPr>
          <w:rFonts w:ascii="Verdana" w:eastAsia="Verdana" w:hAnsi="Verdana" w:cs="Verdana"/>
          <w:sz w:val="16"/>
          <w:szCs w:val="16"/>
          <w:lang w:val="en-US"/>
        </w:rPr>
        <w:t>Dimopoulos</w:t>
      </w:r>
      <w:proofErr w:type="spellEnd"/>
      <w:r w:rsidRPr="00435F35">
        <w:rPr>
          <w:rFonts w:ascii="Verdana" w:eastAsia="Verdana" w:hAnsi="Verdana" w:cs="Verdana"/>
          <w:sz w:val="16"/>
          <w:szCs w:val="16"/>
          <w:lang w:val="en-US"/>
        </w:rPr>
        <w:t xml:space="preserve"> MA, et al. APOLLO Trial Investigators. </w:t>
      </w:r>
      <w:r w:rsidRPr="00442946">
        <w:rPr>
          <w:rFonts w:ascii="Verdana" w:eastAsia="Verdana" w:hAnsi="Verdana" w:cs="Verdana"/>
          <w:sz w:val="16"/>
          <w:szCs w:val="16"/>
          <w:lang w:val="en-US"/>
        </w:rPr>
        <w:t xml:space="preserve">Daratumumab plus pomalidomide and dexamethasone versus pomalidomide and dexamethasone alone in previously treated multiple myeloma (APOLLO): an open-label, </w:t>
      </w:r>
      <w:proofErr w:type="spellStart"/>
      <w:r w:rsidRPr="00442946">
        <w:rPr>
          <w:rFonts w:ascii="Verdana" w:eastAsia="Verdana" w:hAnsi="Verdana" w:cs="Verdana"/>
          <w:sz w:val="16"/>
          <w:szCs w:val="16"/>
          <w:lang w:val="en-US"/>
        </w:rPr>
        <w:t>randomised</w:t>
      </w:r>
      <w:proofErr w:type="spellEnd"/>
      <w:r w:rsidRPr="00442946">
        <w:rPr>
          <w:rFonts w:ascii="Verdana" w:eastAsia="Verdana" w:hAnsi="Verdana" w:cs="Verdana"/>
          <w:sz w:val="16"/>
          <w:szCs w:val="16"/>
          <w:lang w:val="en-US"/>
        </w:rPr>
        <w:t xml:space="preserve">, phase 3 trial. </w:t>
      </w:r>
      <w:r w:rsidRPr="00BC4DB6">
        <w:rPr>
          <w:rFonts w:ascii="Verdana" w:eastAsia="Verdana" w:hAnsi="Verdana" w:cs="Verdana"/>
          <w:sz w:val="16"/>
          <w:szCs w:val="16"/>
          <w:lang w:val="en-US"/>
        </w:rPr>
        <w:t>Lancet Oncol. 2021 Jun;22(6):801-812.</w:t>
      </w:r>
    </w:p>
    <w:p w14:paraId="2EE6DF26" w14:textId="5F29B231" w:rsidR="0020040B" w:rsidRPr="009849B7" w:rsidRDefault="000D1762" w:rsidP="0020040B">
      <w:pPr>
        <w:rPr>
          <w:rFonts w:ascii="Verdana" w:eastAsia="Verdana" w:hAnsi="Verdana" w:cs="Verdana"/>
          <w:sz w:val="16"/>
          <w:szCs w:val="16"/>
          <w:lang w:val="en-US"/>
        </w:rPr>
      </w:pPr>
      <w:r>
        <w:rPr>
          <w:rFonts w:ascii="Verdana" w:eastAsia="Verdana" w:hAnsi="Verdana" w:cs="Verdana"/>
          <w:sz w:val="16"/>
          <w:szCs w:val="16"/>
          <w:vertAlign w:val="superscript"/>
          <w:lang w:val="en-US"/>
        </w:rPr>
        <w:t>8</w:t>
      </w:r>
      <w:r w:rsidR="0020040B" w:rsidRPr="009849B7">
        <w:rPr>
          <w:rFonts w:ascii="Verdana" w:eastAsia="Verdana" w:hAnsi="Verdana" w:cs="Verdana"/>
          <w:sz w:val="16"/>
          <w:szCs w:val="16"/>
          <w:vertAlign w:val="superscript"/>
          <w:lang w:val="en-US"/>
        </w:rPr>
        <w:t xml:space="preserve"> </w:t>
      </w:r>
      <w:proofErr w:type="spellStart"/>
      <w:r w:rsidR="0020040B" w:rsidRPr="009849B7">
        <w:rPr>
          <w:rFonts w:ascii="Verdana" w:eastAsia="Verdana" w:hAnsi="Verdana" w:cs="Verdana"/>
          <w:sz w:val="16"/>
          <w:szCs w:val="16"/>
          <w:lang w:val="en-US"/>
        </w:rPr>
        <w:t>Lonial</w:t>
      </w:r>
      <w:proofErr w:type="spellEnd"/>
      <w:r w:rsidR="0020040B" w:rsidRPr="009849B7">
        <w:rPr>
          <w:rFonts w:ascii="Verdana" w:eastAsia="Verdana" w:hAnsi="Verdana" w:cs="Verdana"/>
          <w:sz w:val="16"/>
          <w:szCs w:val="16"/>
          <w:lang w:val="en-US"/>
        </w:rPr>
        <w:t xml:space="preserve"> S, et al. Daratumumab monotherapy in patients with treatment-refractory multiple myeloma (SIRIUS):</w:t>
      </w:r>
    </w:p>
    <w:p w14:paraId="6A0B8055" w14:textId="77777777" w:rsidR="0020040B" w:rsidRPr="00036A79" w:rsidRDefault="0020040B" w:rsidP="0020040B">
      <w:pPr>
        <w:rPr>
          <w:rFonts w:ascii="Verdana" w:eastAsia="Verdana" w:hAnsi="Verdana" w:cs="Verdana"/>
          <w:sz w:val="16"/>
          <w:szCs w:val="16"/>
        </w:rPr>
      </w:pPr>
      <w:r w:rsidRPr="009849B7">
        <w:rPr>
          <w:rFonts w:ascii="Verdana" w:eastAsia="Verdana" w:hAnsi="Verdana" w:cs="Verdana"/>
          <w:sz w:val="16"/>
          <w:szCs w:val="16"/>
          <w:lang w:val="en-US"/>
        </w:rPr>
        <w:t xml:space="preserve">an open-label, </w:t>
      </w:r>
      <w:proofErr w:type="spellStart"/>
      <w:r w:rsidRPr="009849B7">
        <w:rPr>
          <w:rFonts w:ascii="Verdana" w:eastAsia="Verdana" w:hAnsi="Verdana" w:cs="Verdana"/>
          <w:sz w:val="16"/>
          <w:szCs w:val="16"/>
          <w:lang w:val="en-US"/>
        </w:rPr>
        <w:t>randomised</w:t>
      </w:r>
      <w:proofErr w:type="spellEnd"/>
      <w:r w:rsidRPr="009849B7">
        <w:rPr>
          <w:rFonts w:ascii="Verdana" w:eastAsia="Verdana" w:hAnsi="Verdana" w:cs="Verdana"/>
          <w:sz w:val="16"/>
          <w:szCs w:val="16"/>
          <w:lang w:val="en-US"/>
        </w:rPr>
        <w:t xml:space="preserve">, phase 2 trial. </w:t>
      </w:r>
      <w:r w:rsidRPr="00036A79">
        <w:rPr>
          <w:rFonts w:ascii="Verdana" w:eastAsia="Verdana" w:hAnsi="Verdana" w:cs="Verdana"/>
          <w:sz w:val="16"/>
          <w:szCs w:val="16"/>
        </w:rPr>
        <w:t>Lancet 2016;387(10027):1551-60.</w:t>
      </w:r>
    </w:p>
    <w:p w14:paraId="56471A50" w14:textId="227EFEBE" w:rsidR="0020040B" w:rsidRPr="009849B7" w:rsidRDefault="000D1762" w:rsidP="0020040B">
      <w:pPr>
        <w:rPr>
          <w:rFonts w:ascii="Verdana" w:eastAsia="Verdana" w:hAnsi="Verdana" w:cs="Verdana"/>
          <w:sz w:val="16"/>
          <w:szCs w:val="16"/>
          <w:lang w:val="en-US"/>
        </w:rPr>
      </w:pPr>
      <w:r>
        <w:rPr>
          <w:rFonts w:ascii="Verdana" w:eastAsia="Verdana" w:hAnsi="Verdana" w:cs="Verdana"/>
          <w:sz w:val="16"/>
          <w:szCs w:val="16"/>
          <w:vertAlign w:val="superscript"/>
        </w:rPr>
        <w:t>9</w:t>
      </w:r>
      <w:r w:rsidR="0020040B" w:rsidRPr="00036A79">
        <w:rPr>
          <w:rFonts w:ascii="Verdana" w:eastAsia="Verdana" w:hAnsi="Verdana" w:cs="Verdana"/>
          <w:sz w:val="16"/>
          <w:szCs w:val="16"/>
          <w:vertAlign w:val="superscript"/>
        </w:rPr>
        <w:t xml:space="preserve"> </w:t>
      </w:r>
      <w:r w:rsidR="0020040B" w:rsidRPr="00036A79">
        <w:rPr>
          <w:rFonts w:ascii="Verdana" w:eastAsia="Verdana" w:hAnsi="Verdana" w:cs="Verdana"/>
          <w:sz w:val="16"/>
          <w:szCs w:val="16"/>
        </w:rPr>
        <w:t xml:space="preserve">Lokhorst HM, et al. </w:t>
      </w:r>
      <w:r w:rsidR="0020040B" w:rsidRPr="009849B7">
        <w:rPr>
          <w:rFonts w:ascii="Verdana" w:eastAsia="Verdana" w:hAnsi="Verdana" w:cs="Verdana"/>
          <w:sz w:val="16"/>
          <w:szCs w:val="16"/>
          <w:lang w:val="en-US"/>
        </w:rPr>
        <w:t xml:space="preserve">Targeting CD38 with Daratumumab Monotherapy in Multiple Myeloma. New </w:t>
      </w:r>
      <w:proofErr w:type="spellStart"/>
      <w:r w:rsidR="0020040B" w:rsidRPr="009849B7">
        <w:rPr>
          <w:rFonts w:ascii="Verdana" w:eastAsia="Verdana" w:hAnsi="Verdana" w:cs="Verdana"/>
          <w:sz w:val="16"/>
          <w:szCs w:val="16"/>
          <w:lang w:val="en-US"/>
        </w:rPr>
        <w:t>Engl</w:t>
      </w:r>
      <w:proofErr w:type="spellEnd"/>
      <w:r w:rsidR="0020040B" w:rsidRPr="009849B7">
        <w:rPr>
          <w:rFonts w:ascii="Verdana" w:eastAsia="Verdana" w:hAnsi="Verdana" w:cs="Verdana"/>
          <w:sz w:val="16"/>
          <w:szCs w:val="16"/>
          <w:lang w:val="en-US"/>
        </w:rPr>
        <w:t xml:space="preserve"> J Med. 2015 373(13):1207-19.</w:t>
      </w:r>
    </w:p>
    <w:p w14:paraId="00C95C50" w14:textId="6DB45D56" w:rsidR="0020040B" w:rsidRPr="000B4CC2" w:rsidRDefault="000D1762" w:rsidP="0020040B">
      <w:pPr>
        <w:rPr>
          <w:rFonts w:ascii="Verdana" w:eastAsia="Verdana" w:hAnsi="Verdana" w:cs="Verdana"/>
          <w:sz w:val="16"/>
          <w:szCs w:val="16"/>
        </w:rPr>
      </w:pPr>
      <w:r>
        <w:rPr>
          <w:rFonts w:ascii="Verdana" w:eastAsia="Verdana" w:hAnsi="Verdana" w:cs="Verdana"/>
          <w:sz w:val="16"/>
          <w:szCs w:val="16"/>
          <w:vertAlign w:val="superscript"/>
          <w:lang w:val="en-US"/>
        </w:rPr>
        <w:t>10</w:t>
      </w:r>
      <w:r w:rsidR="0020040B" w:rsidRPr="009849B7">
        <w:rPr>
          <w:rFonts w:ascii="Verdana" w:eastAsia="Verdana" w:hAnsi="Verdana" w:cs="Verdana"/>
          <w:sz w:val="16"/>
          <w:szCs w:val="16"/>
          <w:vertAlign w:val="superscript"/>
          <w:lang w:val="en-US"/>
        </w:rPr>
        <w:t xml:space="preserve"> </w:t>
      </w:r>
      <w:r w:rsidR="0020040B" w:rsidRPr="009849B7">
        <w:rPr>
          <w:rFonts w:ascii="Verdana" w:eastAsia="Verdana" w:hAnsi="Verdana" w:cs="Verdana"/>
          <w:sz w:val="16"/>
          <w:szCs w:val="16"/>
          <w:lang w:val="en-US"/>
        </w:rPr>
        <w:t xml:space="preserve">Usmani S, et al. Clinical efficacy of daratumumab monotherapy in patients with heavily pretreated relapsed or refractory multiple myeloma. </w:t>
      </w:r>
      <w:r w:rsidR="0020040B" w:rsidRPr="000B4CC2">
        <w:rPr>
          <w:rFonts w:ascii="Verdana" w:eastAsia="Verdana" w:hAnsi="Verdana" w:cs="Verdana"/>
          <w:sz w:val="16"/>
          <w:szCs w:val="16"/>
        </w:rPr>
        <w:t>Blood. 2016 Jul 7;128(1):37-44.</w:t>
      </w:r>
    </w:p>
    <w:p w14:paraId="745BEBAB" w14:textId="65360234" w:rsidR="00214113" w:rsidRPr="008D4AB3" w:rsidRDefault="00214113" w:rsidP="0020040B">
      <w:pPr>
        <w:rPr>
          <w:rFonts w:ascii="Verdana" w:eastAsia="Verdana" w:hAnsi="Verdana" w:cs="Verdana"/>
          <w:sz w:val="16"/>
          <w:szCs w:val="16"/>
        </w:rPr>
      </w:pPr>
      <w:r w:rsidRPr="008D4AB3">
        <w:rPr>
          <w:rFonts w:ascii="Verdana" w:eastAsia="Verdana" w:hAnsi="Verdana" w:cs="Verdana"/>
          <w:sz w:val="16"/>
          <w:szCs w:val="16"/>
          <w:vertAlign w:val="superscript"/>
        </w:rPr>
        <w:t>1</w:t>
      </w:r>
      <w:r w:rsidR="00036A79">
        <w:rPr>
          <w:rFonts w:ascii="Verdana" w:eastAsia="Verdana" w:hAnsi="Verdana" w:cs="Verdana"/>
          <w:sz w:val="16"/>
          <w:szCs w:val="16"/>
          <w:vertAlign w:val="superscript"/>
        </w:rPr>
        <w:t>1</w:t>
      </w:r>
      <w:r w:rsidRPr="008D4AB3">
        <w:rPr>
          <w:rFonts w:ascii="Verdana" w:eastAsia="Verdana" w:hAnsi="Verdana" w:cs="Verdana"/>
          <w:sz w:val="16"/>
          <w:szCs w:val="16"/>
          <w:vertAlign w:val="superscript"/>
        </w:rPr>
        <w:t xml:space="preserve"> </w:t>
      </w:r>
      <w:proofErr w:type="spellStart"/>
      <w:r w:rsidRPr="008D4AB3">
        <w:rPr>
          <w:rFonts w:ascii="Verdana" w:eastAsia="Verdana" w:hAnsi="Verdana" w:cs="Verdana"/>
          <w:sz w:val="16"/>
          <w:szCs w:val="16"/>
        </w:rPr>
        <w:t>SmPC</w:t>
      </w:r>
      <w:proofErr w:type="spellEnd"/>
      <w:r w:rsidRPr="008D4AB3">
        <w:rPr>
          <w:rFonts w:ascii="Verdana" w:eastAsia="Verdana" w:hAnsi="Verdana" w:cs="Verdana"/>
          <w:sz w:val="16"/>
          <w:szCs w:val="16"/>
        </w:rPr>
        <w:t xml:space="preserve"> </w:t>
      </w:r>
      <w:proofErr w:type="spellStart"/>
      <w:r w:rsidRPr="008D4AB3">
        <w:rPr>
          <w:rFonts w:ascii="Verdana" w:eastAsia="Verdana" w:hAnsi="Verdana" w:cs="Verdana"/>
          <w:sz w:val="16"/>
          <w:szCs w:val="16"/>
        </w:rPr>
        <w:t>Pomalidomide</w:t>
      </w:r>
      <w:proofErr w:type="spellEnd"/>
    </w:p>
    <w:p w14:paraId="6BD2191C" w14:textId="0725D6AF" w:rsidR="00A60834" w:rsidRPr="008D4AB3" w:rsidRDefault="00A60834">
      <w:pPr>
        <w:pBdr>
          <w:bottom w:val="single" w:sz="6" w:space="1" w:color="auto"/>
        </w:pBdr>
        <w:rPr>
          <w:vertAlign w:val="superscript"/>
        </w:rPr>
      </w:pPr>
    </w:p>
    <w:p w14:paraId="761A383C" w14:textId="77777777" w:rsidR="002745DB" w:rsidRPr="008D4AB3" w:rsidRDefault="002745DB" w:rsidP="00B879BF">
      <w:pPr>
        <w:jc w:val="both"/>
        <w:rPr>
          <w:rFonts w:ascii="Verdana" w:hAnsi="Verdana"/>
          <w:b/>
          <w:sz w:val="20"/>
          <w:szCs w:val="20"/>
        </w:rPr>
      </w:pPr>
    </w:p>
    <w:p w14:paraId="64C4F4BC" w14:textId="77777777" w:rsidR="00043684" w:rsidRDefault="00043684">
      <w:pPr>
        <w:rPr>
          <w:rFonts w:ascii="Verdana" w:hAnsi="Verdana"/>
          <w:b/>
          <w:sz w:val="20"/>
          <w:szCs w:val="20"/>
        </w:rPr>
      </w:pPr>
      <w:r>
        <w:rPr>
          <w:rFonts w:ascii="Verdana" w:hAnsi="Verdana"/>
          <w:b/>
          <w:sz w:val="20"/>
          <w:szCs w:val="20"/>
        </w:rPr>
        <w:br w:type="page"/>
      </w:r>
    </w:p>
    <w:p w14:paraId="66EC59BE" w14:textId="77777777" w:rsidR="002745DB" w:rsidRDefault="00A60834" w:rsidP="00B879BF">
      <w:pPr>
        <w:jc w:val="both"/>
        <w:rPr>
          <w:rFonts w:ascii="Verdana" w:hAnsi="Verdana"/>
          <w:b/>
          <w:sz w:val="20"/>
          <w:szCs w:val="20"/>
        </w:rPr>
      </w:pPr>
      <w:r w:rsidRPr="008A6C82">
        <w:rPr>
          <w:rFonts w:ascii="Verdana" w:hAnsi="Verdana"/>
          <w:b/>
          <w:sz w:val="20"/>
          <w:szCs w:val="20"/>
        </w:rPr>
        <w:lastRenderedPageBreak/>
        <w:t>Uitge</w:t>
      </w:r>
      <w:r w:rsidR="008A5BD3" w:rsidRPr="008A6C82">
        <w:rPr>
          <w:rFonts w:ascii="Verdana" w:hAnsi="Verdana"/>
          <w:b/>
          <w:sz w:val="20"/>
          <w:szCs w:val="20"/>
        </w:rPr>
        <w:t xml:space="preserve">breide productinformatie is </w:t>
      </w:r>
      <w:r w:rsidRPr="008A6C82">
        <w:rPr>
          <w:rFonts w:ascii="Verdana" w:hAnsi="Verdana"/>
          <w:b/>
          <w:sz w:val="20"/>
          <w:szCs w:val="20"/>
        </w:rPr>
        <w:t xml:space="preserve">beschikbaar via </w:t>
      </w:r>
      <w:hyperlink r:id="rId13" w:history="1">
        <w:r w:rsidRPr="008A6C82">
          <w:rPr>
            <w:rStyle w:val="Hyperlink"/>
            <w:rFonts w:ascii="Verdana" w:hAnsi="Verdana"/>
            <w:b/>
            <w:sz w:val="20"/>
            <w:szCs w:val="20"/>
          </w:rPr>
          <w:t>www.janssen.com/nederland</w:t>
        </w:r>
      </w:hyperlink>
      <w:r w:rsidRPr="008A6C82">
        <w:rPr>
          <w:rStyle w:val="Hyperlink"/>
          <w:rFonts w:ascii="Verdana" w:hAnsi="Verdana"/>
          <w:b/>
          <w:sz w:val="20"/>
          <w:szCs w:val="20"/>
        </w:rPr>
        <w:t>.</w:t>
      </w:r>
    </w:p>
    <w:p w14:paraId="143BC949" w14:textId="77777777" w:rsidR="00A60834" w:rsidRDefault="00A60834" w:rsidP="00B879BF">
      <w:pPr>
        <w:jc w:val="both"/>
        <w:rPr>
          <w:rFonts w:ascii="Verdana" w:hAnsi="Verdana"/>
          <w:b/>
          <w:sz w:val="20"/>
          <w:szCs w:val="20"/>
        </w:rPr>
      </w:pPr>
    </w:p>
    <w:p w14:paraId="5102292D" w14:textId="77777777" w:rsidR="00D728EB" w:rsidRPr="0042123F" w:rsidRDefault="00D728EB" w:rsidP="00D728EB">
      <w:pPr>
        <w:rPr>
          <w:rFonts w:ascii="Verdana" w:hAnsi="Verdana"/>
          <w:i/>
          <w:sz w:val="20"/>
          <w:lang w:eastAsia="en-GB"/>
        </w:rPr>
      </w:pPr>
      <w:r w:rsidRPr="0042123F">
        <w:rPr>
          <w:rFonts w:ascii="Verdana" w:hAnsi="Verdana"/>
          <w:b/>
          <w:sz w:val="20"/>
        </w:rPr>
        <w:t>Verkorte productinformatie Darzalex (daratumumab) voor gebruik in Nederland</w:t>
      </w:r>
    </w:p>
    <w:p w14:paraId="5AF28F18" w14:textId="77777777" w:rsidR="00D728EB" w:rsidRPr="005B418C" w:rsidRDefault="00D728EB" w:rsidP="00D728EB">
      <w:pPr>
        <w:rPr>
          <w:rFonts w:ascii="Verdana" w:hAnsi="Verdana"/>
          <w:sz w:val="20"/>
          <w:lang w:eastAsia="en-GB"/>
        </w:rPr>
      </w:pPr>
      <w:r w:rsidRPr="0042123F">
        <w:rPr>
          <w:rFonts w:ascii="Verdana" w:hAnsi="Verdana"/>
          <w:b/>
          <w:sz w:val="20"/>
        </w:rPr>
        <w:t xml:space="preserve">Samenstelling </w:t>
      </w:r>
      <w:r w:rsidRPr="0042123F">
        <w:rPr>
          <w:rFonts w:ascii="Verdana" w:hAnsi="Verdana"/>
          <w:sz w:val="20"/>
        </w:rPr>
        <w:t>Daratumumab is een humaan monoklonaal IgG1κ</w:t>
      </w:r>
      <w:r w:rsidRPr="0042123F">
        <w:rPr>
          <w:rFonts w:ascii="Verdana" w:hAnsi="Verdana"/>
          <w:sz w:val="20"/>
        </w:rPr>
        <w:noBreakHyphen/>
        <w:t>antilichaam tegen CD38</w:t>
      </w:r>
      <w:r w:rsidRPr="0042123F">
        <w:rPr>
          <w:rFonts w:ascii="Verdana" w:hAnsi="Verdana"/>
          <w:sz w:val="20"/>
        </w:rPr>
        <w:noBreakHyphen/>
        <w:t xml:space="preserve">antigeen. </w:t>
      </w:r>
      <w:r w:rsidRPr="0042123F">
        <w:rPr>
          <w:rFonts w:ascii="Verdana" w:hAnsi="Verdana"/>
          <w:b/>
          <w:bCs/>
          <w:sz w:val="20"/>
        </w:rPr>
        <w:t>Darzalex 1.800 mg</w:t>
      </w:r>
      <w:r w:rsidRPr="0042123F">
        <w:rPr>
          <w:rFonts w:ascii="Verdana" w:hAnsi="Verdana"/>
          <w:sz w:val="20"/>
        </w:rPr>
        <w:t xml:space="preserve"> oplossing voor subcutane injectie: elke injectieflacon van 15 ml bevat 1.800 mg daratumumab</w:t>
      </w:r>
      <w:bookmarkStart w:id="1" w:name="_Hlk96094010"/>
      <w:r w:rsidRPr="0042123F">
        <w:rPr>
          <w:rFonts w:ascii="Verdana" w:hAnsi="Verdana"/>
          <w:sz w:val="20"/>
        </w:rPr>
        <w:t>.</w:t>
      </w:r>
      <w:r>
        <w:rPr>
          <w:rFonts w:ascii="Verdana" w:hAnsi="Verdana"/>
          <w:sz w:val="20"/>
        </w:rPr>
        <w:t xml:space="preserve"> Houdbaarheid k</w:t>
      </w:r>
      <w:r w:rsidRPr="00184239">
        <w:rPr>
          <w:rFonts w:ascii="Verdana" w:hAnsi="Verdana"/>
          <w:sz w:val="20"/>
        </w:rPr>
        <w:t>laargemaakte spuit: bewaar de doseerspuit gekoeld en beschermd tegen licht gedurende maximaal 24 uur, gevolgd door maximaal 12 uur bij 15 °C-25 °C en in omgevingslicht.</w:t>
      </w:r>
      <w:r w:rsidRPr="00A86CF8">
        <w:rPr>
          <w:rFonts w:ascii="Verdana" w:hAnsi="Verdana"/>
          <w:sz w:val="20"/>
        </w:rPr>
        <w:t xml:space="preserve"> </w:t>
      </w:r>
      <w:bookmarkEnd w:id="1"/>
      <w:r w:rsidRPr="0042123F">
        <w:rPr>
          <w:rFonts w:ascii="Verdana" w:hAnsi="Verdana"/>
          <w:b/>
          <w:sz w:val="20"/>
        </w:rPr>
        <w:t xml:space="preserve">Darzalex 20 mg/ml </w:t>
      </w:r>
      <w:r w:rsidRPr="0042123F">
        <w:rPr>
          <w:rFonts w:ascii="Verdana" w:hAnsi="Verdana"/>
          <w:sz w:val="20"/>
        </w:rPr>
        <w:t xml:space="preserve">concentraat voor oplossing voor intraveneuze infusie: elke injectieflacon van 20 ml bevat 400 mg daratumumab, elke injectieflacon van 5 ml bevat 100 mg daratumumab. </w:t>
      </w:r>
      <w:r w:rsidRPr="0042123F">
        <w:rPr>
          <w:rFonts w:ascii="Verdana" w:hAnsi="Verdana"/>
          <w:b/>
          <w:bCs/>
          <w:sz w:val="20"/>
        </w:rPr>
        <w:t xml:space="preserve">Indicaties </w:t>
      </w:r>
      <w:r w:rsidRPr="0042123F">
        <w:rPr>
          <w:rFonts w:ascii="Verdana" w:hAnsi="Verdana"/>
          <w:bCs/>
          <w:sz w:val="20"/>
        </w:rPr>
        <w:t>Darzalex is geïndiceerd in combinatie met lenalidomide en dexamethason of met bortezomib, melfalan en prednison voor de behandeling van volwassen patiënten met nieuw gediagnosticeerd multipel myeloom die niet in aanmerking komen voor autologe stamceltransplantatie. Darzalex is geïndiceerd in combinatie met bortezomib, thalidomide en dexamethason voor de behandeling van volwassen patiënten met nieuw gediagnosticeerd multipel myeloom die in aanmerking komen voor autologe stamceltransplantatie.</w:t>
      </w:r>
      <w:r w:rsidRPr="0042123F">
        <w:rPr>
          <w:rFonts w:ascii="Verdana" w:hAnsi="Verdana"/>
          <w:b/>
          <w:bCs/>
          <w:sz w:val="20"/>
        </w:rPr>
        <w:t xml:space="preserve"> </w:t>
      </w:r>
      <w:r w:rsidRPr="0042123F">
        <w:rPr>
          <w:rFonts w:ascii="Verdana" w:hAnsi="Verdana"/>
          <w:sz w:val="20"/>
        </w:rPr>
        <w:t xml:space="preserve">Darzalex in combinatie met lenalidomide en dexamethason, of bortezomib en dexamethason is geïndiceerd voor de behandeling van volwassen patiënten met multipel myeloom die minstens 1 eerdere behandeling hebben gehad. </w:t>
      </w:r>
      <w:r>
        <w:rPr>
          <w:rFonts w:ascii="Verdana" w:hAnsi="Verdana"/>
          <w:sz w:val="20"/>
        </w:rPr>
        <w:t xml:space="preserve">Darzalex </w:t>
      </w:r>
      <w:bookmarkStart w:id="2" w:name="_Hlk96094059"/>
      <w:r>
        <w:rPr>
          <w:rFonts w:ascii="Verdana" w:hAnsi="Verdana"/>
          <w:sz w:val="20"/>
        </w:rPr>
        <w:t xml:space="preserve">als subcutane oplossing </w:t>
      </w:r>
      <w:bookmarkEnd w:id="2"/>
      <w:r>
        <w:rPr>
          <w:rFonts w:ascii="Verdana" w:hAnsi="Verdana"/>
          <w:sz w:val="20"/>
        </w:rPr>
        <w:t xml:space="preserve">is </w:t>
      </w:r>
      <w:r w:rsidRPr="0042123F">
        <w:rPr>
          <w:rFonts w:ascii="Verdana" w:hAnsi="Verdana"/>
          <w:bCs/>
          <w:sz w:val="20"/>
        </w:rPr>
        <w:t>geïndiceerd</w:t>
      </w:r>
      <w:r>
        <w:rPr>
          <w:rFonts w:ascii="Verdana" w:hAnsi="Verdana"/>
          <w:sz w:val="20"/>
        </w:rPr>
        <w:t xml:space="preserve"> </w:t>
      </w:r>
      <w:r w:rsidRPr="00D02D0B">
        <w:rPr>
          <w:rFonts w:ascii="Verdana" w:hAnsi="Verdana"/>
          <w:sz w:val="20"/>
        </w:rPr>
        <w:t>in combinatie met pomalidomide en dexamethason voor de behandeling van volwassen patiënten met multipel myeloom die één eerdere behandellijn met een proteasoomremmer en lenalidomide hebben gehad en die refractair waren voor lenalidomide, of die minstens twee eerdere behandellijnen hebben gehad waaronder lenalidomide en een proteasoomremmer en die bij of na de laatste behandeling ziekteprogressie hebben vertoond</w:t>
      </w:r>
      <w:r>
        <w:rPr>
          <w:rFonts w:ascii="Verdana" w:hAnsi="Verdana"/>
          <w:sz w:val="20"/>
        </w:rPr>
        <w:t xml:space="preserve">. </w:t>
      </w:r>
      <w:r w:rsidRPr="0042123F">
        <w:rPr>
          <w:rFonts w:ascii="Verdana" w:hAnsi="Verdana"/>
          <w:sz w:val="20"/>
        </w:rPr>
        <w:t xml:space="preserve">Darzalex is geïndiceerd als monotherapie voor de behandeling van volwassen patiënten met gerecidiveerd en refractair multipel myeloom, bij wie de voorgaande behandeling bestond uit een proteasoomremmer en een immunomodulerend middel en die bij de laatste behandeling ziekteprogressie hebben vertoond. </w:t>
      </w:r>
      <w:r>
        <w:rPr>
          <w:rFonts w:ascii="Verdana" w:hAnsi="Verdana"/>
          <w:sz w:val="20"/>
        </w:rPr>
        <w:t>Darzalex</w:t>
      </w:r>
      <w:r w:rsidRPr="00D02D0B">
        <w:rPr>
          <w:rFonts w:ascii="Verdana" w:hAnsi="Verdana"/>
          <w:sz w:val="20"/>
        </w:rPr>
        <w:t xml:space="preserve"> </w:t>
      </w:r>
      <w:r>
        <w:rPr>
          <w:rFonts w:ascii="Verdana" w:hAnsi="Verdana"/>
          <w:sz w:val="20"/>
        </w:rPr>
        <w:t xml:space="preserve">als subcutane oplossing </w:t>
      </w:r>
      <w:r w:rsidRPr="00D02D0B">
        <w:rPr>
          <w:rFonts w:ascii="Verdana" w:hAnsi="Verdana"/>
          <w:sz w:val="20"/>
        </w:rPr>
        <w:t>is geïndiceerd in combinatie met cyclofosfamide, bortezomib en dexamethason voor de behandeling van volwassen patiënten met nieuw gediagnosticeerde systemische lichte-keten (AL)-amyloïdose.</w:t>
      </w:r>
      <w:r>
        <w:rPr>
          <w:rFonts w:ascii="Verdana" w:hAnsi="Verdana"/>
          <w:sz w:val="20"/>
        </w:rPr>
        <w:t xml:space="preserve"> </w:t>
      </w:r>
      <w:r w:rsidRPr="0042123F">
        <w:rPr>
          <w:rFonts w:ascii="Verdana" w:hAnsi="Verdana"/>
          <w:b/>
          <w:sz w:val="20"/>
          <w:lang w:val="nl-BE"/>
        </w:rPr>
        <w:t>D</w:t>
      </w:r>
      <w:r w:rsidRPr="0042123F">
        <w:rPr>
          <w:rFonts w:ascii="Verdana" w:hAnsi="Verdana"/>
          <w:b/>
          <w:bCs/>
          <w:sz w:val="20"/>
        </w:rPr>
        <w:t xml:space="preserve">osering en toediening </w:t>
      </w:r>
      <w:r w:rsidRPr="0042123F">
        <w:rPr>
          <w:rFonts w:ascii="Verdana" w:hAnsi="Verdana"/>
          <w:sz w:val="20"/>
        </w:rPr>
        <w:t>De aanbevolen dosis van Darzalex oplossing voor subcutane injectie is 1.800 mg, toegediend in ongeveer 3-5 minuten in het subcutane weefsel van het abdomen, ongeveer 7,5 cm rechts of links van de navel. Onderbreek of vertraag de afgifte als de patiënt pijn ervaart. Bij de achtereenvolgende injecties dient de injectieplaats afgewisseld te worden. Darzalex voor intraveneuze infusie wordt toegediend na verdunning met 0,9% (9 mg/ml) natriumchloride oplossing voor injectie (zie SmPC). De aanbevolen dosis van Darzalex voor intraveneuze infusie is 16 mg/kg lichaamsgewicht, of 8 mg/kg indien de eerste dosis over dag 1 en dag 2 van week 1 wordt verdeeld. Voor de behandelschema’s zie SmPC. Het wordt afgeraden de dosis van Darzalex te verlagen. Darzalex moet worden toegediend door een beroepsbeoefenaar in de gezondheidszorg, in een omgeving waar reanimatie</w:t>
      </w:r>
      <w:r w:rsidRPr="0042123F">
        <w:rPr>
          <w:rFonts w:ascii="Verdana" w:hAnsi="Verdana"/>
          <w:sz w:val="20"/>
        </w:rPr>
        <w:softHyphen/>
        <w:t xml:space="preserve">faciliteiten voorhanden zijn. Vóór en na toediening moet medicatie worden gegeven om het risico op IRR’s met Darzalex te beperken (zie SmPC). Daarnaast moet het gebruik van medicatie na toediening worden overwogen voor patiënten met een voorgeschiedenis van chronische obstructieve longziekte (zie SmPC). </w:t>
      </w:r>
      <w:r w:rsidRPr="0042123F">
        <w:rPr>
          <w:rFonts w:ascii="Verdana" w:hAnsi="Verdana"/>
          <w:b/>
          <w:iCs/>
          <w:sz w:val="20"/>
        </w:rPr>
        <w:t>Aanpak van infusie</w:t>
      </w:r>
      <w:r w:rsidRPr="0042123F">
        <w:rPr>
          <w:rFonts w:ascii="Verdana" w:hAnsi="Verdana"/>
          <w:b/>
          <w:iCs/>
          <w:sz w:val="20"/>
        </w:rPr>
        <w:softHyphen/>
        <w:t xml:space="preserve">gerelateerde reacties (IRR’s) </w:t>
      </w:r>
      <w:r w:rsidRPr="0042123F">
        <w:rPr>
          <w:rFonts w:ascii="Verdana" w:hAnsi="Verdana"/>
          <w:sz w:val="20"/>
        </w:rPr>
        <w:t xml:space="preserve">Alle patiënten dienen advies te krijgen met betrekking tot IRR’s en moeten op IRR’s gemonitord worden, in het bijzonder tijdens en na de eerste en tweede toediening. In het geval van IRR’s tijdens intraveneuze infusie, ongeacht de graad/ernst, de infusie onmiddellijk onderbreken en de symptomen behandelen. Bij het heropstarten van de infusie moet de infusiesnelheid worden verlaagd (zie SmPC). Als er een anafylactische reactie optreedt of zich een levensbedreigende (graad 4) IRR voordoet, dient onmiddellijk adequate noodhulp te worden gestart. De behandeling met Darzalex moet permanent worden stopgezet. Patiënten met IRR’s ongeacht de graad moeten in de periode na de toediening gemonitord blijven worden totdat de symptomen zijn verdwenen. </w:t>
      </w:r>
      <w:r w:rsidRPr="008B7A10">
        <w:rPr>
          <w:rFonts w:ascii="Verdana" w:hAnsi="Verdana"/>
          <w:sz w:val="20"/>
        </w:rPr>
        <w:t>Deze reacties kunnen levensbedreigend zijn en er zijn meldingen geweest van fatale afloop.</w:t>
      </w:r>
      <w:r>
        <w:rPr>
          <w:rFonts w:ascii="Verdana" w:hAnsi="Verdana"/>
          <w:sz w:val="20"/>
        </w:rPr>
        <w:t xml:space="preserve"> </w:t>
      </w:r>
      <w:r w:rsidRPr="0042123F">
        <w:rPr>
          <w:rFonts w:ascii="Verdana" w:hAnsi="Verdana"/>
          <w:b/>
          <w:sz w:val="20"/>
        </w:rPr>
        <w:t>C</w:t>
      </w:r>
      <w:r w:rsidRPr="0042123F">
        <w:rPr>
          <w:rFonts w:ascii="Verdana" w:hAnsi="Verdana"/>
          <w:b/>
          <w:bCs/>
          <w:sz w:val="20"/>
        </w:rPr>
        <w:t>ontra</w:t>
      </w:r>
      <w:r w:rsidRPr="0042123F">
        <w:rPr>
          <w:rFonts w:ascii="Verdana" w:hAnsi="Verdana"/>
          <w:b/>
          <w:bCs/>
          <w:sz w:val="20"/>
        </w:rPr>
        <w:noBreakHyphen/>
        <w:t xml:space="preserve">indicaties </w:t>
      </w:r>
      <w:r w:rsidRPr="0042123F">
        <w:rPr>
          <w:rFonts w:ascii="Verdana" w:hAnsi="Verdana"/>
          <w:sz w:val="20"/>
        </w:rPr>
        <w:lastRenderedPageBreak/>
        <w:t xml:space="preserve">Overgevoeligheid voor de werkzame stof of voor </w:t>
      </w:r>
      <w:r>
        <w:rPr>
          <w:rFonts w:ascii="Verdana" w:hAnsi="Verdana"/>
          <w:sz w:val="20"/>
        </w:rPr>
        <w:t>éé</w:t>
      </w:r>
      <w:r w:rsidRPr="0042123F">
        <w:rPr>
          <w:rFonts w:ascii="Verdana" w:hAnsi="Verdana"/>
          <w:sz w:val="20"/>
        </w:rPr>
        <w:t xml:space="preserve">n van de in de SmPC vermelde hulpstoffen. </w:t>
      </w:r>
      <w:r w:rsidRPr="0042123F">
        <w:rPr>
          <w:rFonts w:ascii="Verdana" w:hAnsi="Verdana"/>
          <w:b/>
          <w:bCs/>
          <w:sz w:val="20"/>
        </w:rPr>
        <w:t xml:space="preserve">Waarschuwingen </w:t>
      </w:r>
      <w:r w:rsidRPr="0042123F">
        <w:rPr>
          <w:rFonts w:ascii="Verdana" w:hAnsi="Verdana"/>
          <w:sz w:val="20"/>
        </w:rPr>
        <w:t xml:space="preserve">Darzalex kan ernstige IRR’s veroorzaken. In klinische studies werden IRR’s gemeld bij </w:t>
      </w:r>
      <w:r>
        <w:rPr>
          <w:rFonts w:ascii="Verdana" w:hAnsi="Verdana"/>
          <w:sz w:val="20"/>
        </w:rPr>
        <w:t>9</w:t>
      </w:r>
      <w:r w:rsidRPr="0042123F">
        <w:rPr>
          <w:rFonts w:ascii="Verdana" w:hAnsi="Verdana"/>
          <w:sz w:val="20"/>
        </w:rPr>
        <w:t xml:space="preserve">% van alle patienten die behandeld werden met subcutane injectie en bij minder dan de helft van alle patiënten die werden behandeld met intraveneuze infusie. De meerderheid van de IRR’s trad op bij de eerste infusie en was graad 1-2 (zie SmPC). Symptomen van IRR’s zijn o.a. respiratoire symptomen, zoals neusverstopping, hoesten, irritatie van de keel, allergische rinitis, piepen en ook pyrexie, pijn op de borst, pruritus, koude rillingen, braken, nausea en hypotensie. </w:t>
      </w:r>
      <w:r w:rsidRPr="0042123F">
        <w:rPr>
          <w:rFonts w:ascii="Verdana" w:hAnsi="Verdana"/>
          <w:sz w:val="20"/>
          <w:lang w:eastAsia="en-GB"/>
        </w:rPr>
        <w:t xml:space="preserve">Ernstige IRR’s zijn bronchospasme, hypoxie, dyspneu, hypertensie en tachycardie. </w:t>
      </w:r>
      <w:r w:rsidRPr="0042123F">
        <w:rPr>
          <w:rFonts w:ascii="Verdana" w:hAnsi="Verdana"/>
          <w:sz w:val="20"/>
        </w:rPr>
        <w:t xml:space="preserve">Darzalex kan neutropenie en thrombocytopenie, veroorzaakt door achtergrondbehandeling, verergeren (zie SmPC). Controleer tijdens de behandeling periodiek het volledige bloedbeeld volgens de voorschrijfinformatie van de fabrikant met betrekking tot achtergrondbehandelingen. Controleer patiënten met neutropenie op tekenen van infectie. Het kan nodig zijn de behandeling met Darzalex uit te stellen totdat het bloedbeeld is hersteld. Overweeg een ondersteunende behandeling met bloedtransfusies of groeifactoren. </w:t>
      </w:r>
      <w:r w:rsidRPr="0042123F">
        <w:rPr>
          <w:rFonts w:ascii="Verdana" w:hAnsi="Verdana"/>
          <w:sz w:val="20"/>
          <w:lang w:val="nl-BE"/>
        </w:rPr>
        <w:t xml:space="preserve">Reactivatie van het hepatitis B-virus (HBV) is gemeld bij patiënten die werden behandeld met Darzalex. Bij alle patiënten dient voor het begin van de behandeling met Darzalex een screening op HBV te worden uitgevoerd. Bij patiënten met bewijs van seropositiviteit voor HBV dient gemonitord te worden op klinische en laboratoriumaanwijzingen van HBV-reactivatie gedurende de behandeling en gedurende minstens 6 maanden na het eind van de behandeling met Darzalex (zie SmPC). </w:t>
      </w:r>
      <w:r w:rsidRPr="0042123F">
        <w:rPr>
          <w:rFonts w:ascii="Verdana" w:hAnsi="Verdana"/>
          <w:b/>
          <w:bCs/>
          <w:sz w:val="20"/>
        </w:rPr>
        <w:t>Interferentie</w:t>
      </w:r>
      <w:r w:rsidRPr="0042123F">
        <w:rPr>
          <w:rFonts w:ascii="Verdana" w:hAnsi="Verdana"/>
          <w:sz w:val="20"/>
        </w:rPr>
        <w:t xml:space="preserve"> Daratumumab bindt aan CD38 dat in geringe mate tot expressie komt op rode bloedcellen (RBC’s), wat aanleiding kan geven tot een positieve indirecte Coombstest. Een positieve indirecte Coombstest ten gevolge van Darzalex kan tot 6 maanden na de laatste infusie met Darzalex voorkomen. Patiënten dienen getypeerd en gescreend te worden alvorens de behandeling met Darzalex te starten. Rode</w:t>
      </w:r>
      <w:r w:rsidRPr="0042123F">
        <w:rPr>
          <w:rFonts w:ascii="Verdana" w:hAnsi="Verdana"/>
          <w:sz w:val="20"/>
        </w:rPr>
        <w:noBreakHyphen/>
        <w:t>bloedcelgenotypering wordt niet beïnvloed door Darzalex en kan op ieder moment uitgevoerd worden. Indien een bloedtransfusie is gepland, dient het bloedtransfusiecentrum van mogelijke interferentie op de hoogte te worden gesteld (zie SmPC). Wanneer een noodtransfusie nodig is, kunnen ABO/RhD</w:t>
      </w:r>
      <w:r w:rsidRPr="0042123F">
        <w:rPr>
          <w:rFonts w:ascii="Verdana" w:hAnsi="Verdana"/>
          <w:sz w:val="20"/>
        </w:rPr>
        <w:noBreakHyphen/>
        <w:t>compatibele RBC’s zonder kruisproef worden gegeven volgens de voorschriften van de lokale bloedbank.</w:t>
      </w:r>
      <w:r w:rsidRPr="0042123F">
        <w:rPr>
          <w:rFonts w:ascii="Verdana" w:hAnsi="Verdana"/>
          <w:sz w:val="20"/>
          <w:lang w:val="nl-BE"/>
        </w:rPr>
        <w:t xml:space="preserve"> </w:t>
      </w:r>
      <w:r w:rsidRPr="0042123F">
        <w:rPr>
          <w:rFonts w:ascii="Verdana" w:hAnsi="Verdana"/>
          <w:sz w:val="20"/>
        </w:rPr>
        <w:t>Daratumumab is een humaan monoklonaal IgG</w:t>
      </w:r>
      <w:r w:rsidRPr="0042123F">
        <w:rPr>
          <w:rFonts w:ascii="Verdana" w:hAnsi="Verdana"/>
          <w:sz w:val="20"/>
        </w:rPr>
        <w:noBreakHyphen/>
        <w:t>kappa antilichaam dat gedetecteerd kan worden via zowel serumproteïne elektroforese (SPE) als immunofixatie (IFE), die beide gebruikt worden voor de klinische monitoring van endogeen M</w:t>
      </w:r>
      <w:r w:rsidRPr="0042123F">
        <w:rPr>
          <w:rFonts w:ascii="Verdana" w:hAnsi="Verdana"/>
          <w:sz w:val="20"/>
        </w:rPr>
        <w:noBreakHyphen/>
        <w:t>proteïne (zie SmPC). Deze interferentie kan bij sommige patiënten met IgG</w:t>
      </w:r>
      <w:r w:rsidRPr="0042123F">
        <w:rPr>
          <w:rFonts w:ascii="Verdana" w:hAnsi="Verdana"/>
          <w:sz w:val="20"/>
        </w:rPr>
        <w:noBreakHyphen/>
        <w:t>kappa myeloomproteïne invloed hebben op de bepaling van de complete respons en van de ziekteprogressie.</w:t>
      </w:r>
      <w:r w:rsidRPr="0042123F">
        <w:rPr>
          <w:rFonts w:ascii="Verdana" w:hAnsi="Verdana"/>
          <w:sz w:val="20"/>
          <w:lang w:val="nl-BE"/>
        </w:rPr>
        <w:t xml:space="preserve"> </w:t>
      </w:r>
      <w:r w:rsidRPr="0042123F">
        <w:rPr>
          <w:rFonts w:ascii="Verdana" w:hAnsi="Verdana"/>
          <w:b/>
          <w:bCs/>
          <w:sz w:val="20"/>
        </w:rPr>
        <w:t xml:space="preserve">Interacties </w:t>
      </w:r>
      <w:r w:rsidRPr="0042123F">
        <w:rPr>
          <w:rFonts w:ascii="Verdana" w:hAnsi="Verdana"/>
          <w:sz w:val="20"/>
        </w:rPr>
        <w:t>Er is geen onderzoek naar interacties uitgevoerd. Het is niet waarschijnlijk dat renale uitscheiding en metabolisme door leverenzymen van intact daratumumab belangrijke eliminatieroutes zullen vormen. Er wordt niet verwacht dat daratumumab geneesmiddelmetaboliserende enzymen zal veranderen. Klinische farmacokinetische evaluaties van lenalidomide, pomalidomide, thalidomide, bortezomib en dexamethason wezen niet op klinisch relevante geneesmiddeleninteracties tussen daratumumab en deze combinatie</w:t>
      </w:r>
      <w:r w:rsidRPr="0042123F">
        <w:rPr>
          <w:rFonts w:ascii="Verdana" w:hAnsi="Verdana"/>
          <w:sz w:val="20"/>
        </w:rPr>
        <w:softHyphen/>
        <w:t xml:space="preserve">behandelingen. </w:t>
      </w:r>
      <w:r w:rsidRPr="0042123F">
        <w:rPr>
          <w:rFonts w:ascii="Verdana" w:hAnsi="Verdana"/>
          <w:b/>
          <w:sz w:val="20"/>
          <w:lang w:val="nl-BE"/>
        </w:rPr>
        <w:t>V</w:t>
      </w:r>
      <w:r w:rsidRPr="0042123F">
        <w:rPr>
          <w:rFonts w:ascii="Verdana" w:hAnsi="Verdana"/>
          <w:b/>
          <w:bCs/>
          <w:sz w:val="20"/>
        </w:rPr>
        <w:t>ruchtbaarheid, zwangerschap en borstvoeding</w:t>
      </w:r>
      <w:r w:rsidRPr="0042123F">
        <w:rPr>
          <w:rFonts w:ascii="Verdana" w:hAnsi="Verdana"/>
          <w:sz w:val="20"/>
          <w:lang w:val="nl-BE"/>
        </w:rPr>
        <w:t xml:space="preserve"> </w:t>
      </w:r>
      <w:r w:rsidRPr="0042123F">
        <w:rPr>
          <w:rFonts w:ascii="Verdana" w:hAnsi="Verdana"/>
          <w:sz w:val="20"/>
        </w:rPr>
        <w:t>Vrouwen die zwanger kunnen worden, moeten effectieve anticonceptie gebruiken tijdens en gedurende 3 maanden na het stoppen van de behandeling met Darzalex. Er zijn geen gegevens beschikbaar uit onderzoek bij dieren of bij mensen om het risico van gebruik van Darzalex tijdens de zwangerschap te beoordelen. Het is niet bekend of daratumumab bij de mens of bij dieren in de melk wordt uitgescheiden. Er zijn geen gegevens beschikbaar om te bepalen wat de mogelijke effecten zijn van Darzalex op de vruchtbaarheid bij de man of de vrouw.</w:t>
      </w:r>
      <w:r w:rsidRPr="0042123F">
        <w:rPr>
          <w:rFonts w:ascii="Verdana" w:hAnsi="Verdana"/>
          <w:sz w:val="20"/>
          <w:lang w:val="nl-BE"/>
        </w:rPr>
        <w:t xml:space="preserve"> </w:t>
      </w:r>
      <w:r w:rsidRPr="0042123F">
        <w:rPr>
          <w:rFonts w:ascii="Verdana" w:hAnsi="Verdana"/>
          <w:b/>
          <w:bCs/>
          <w:sz w:val="20"/>
        </w:rPr>
        <w:t xml:space="preserve">Rijvaardigheid </w:t>
      </w:r>
      <w:r w:rsidRPr="0042123F">
        <w:rPr>
          <w:rFonts w:ascii="Verdana" w:hAnsi="Verdana"/>
          <w:bCs/>
          <w:sz w:val="20"/>
        </w:rPr>
        <w:t>Darzalex</w:t>
      </w:r>
      <w:r w:rsidRPr="0042123F">
        <w:rPr>
          <w:rFonts w:ascii="Verdana" w:hAnsi="Verdana"/>
          <w:sz w:val="20"/>
        </w:rPr>
        <w:t xml:space="preserve"> heeft geen of een verwaarloosbare invloed op de rijvaardigheid en op het vermogen om machines te bedienen. Vermoeidheid is echter gemeld bij patiënten die Darzalex gebruiken en dit dient in overweging te worden genomen bij het rijden of het bedienen van machines. </w:t>
      </w:r>
      <w:r w:rsidRPr="0042123F">
        <w:rPr>
          <w:rFonts w:ascii="Verdana" w:hAnsi="Verdana"/>
          <w:b/>
          <w:sz w:val="20"/>
        </w:rPr>
        <w:t>Bi</w:t>
      </w:r>
      <w:r w:rsidRPr="0042123F">
        <w:rPr>
          <w:rFonts w:ascii="Verdana" w:hAnsi="Verdana"/>
          <w:b/>
          <w:bCs/>
          <w:sz w:val="20"/>
        </w:rPr>
        <w:t xml:space="preserve">jwerkingen </w:t>
      </w:r>
      <w:r w:rsidRPr="0042123F">
        <w:rPr>
          <w:rFonts w:ascii="Verdana" w:hAnsi="Verdana"/>
          <w:bCs/>
          <w:sz w:val="20"/>
        </w:rPr>
        <w:t>Zie SmPC.</w:t>
      </w:r>
      <w:r w:rsidRPr="0042123F">
        <w:rPr>
          <w:rFonts w:ascii="Verdana" w:hAnsi="Verdana"/>
          <w:sz w:val="20"/>
        </w:rPr>
        <w:t xml:space="preserve"> De vaakst voorkomende bijwerkingen (≥20%</w:t>
      </w:r>
      <w:r>
        <w:rPr>
          <w:rFonts w:ascii="Verdana" w:hAnsi="Verdana"/>
          <w:sz w:val="20"/>
        </w:rPr>
        <w:t xml:space="preserve"> van de patiënten</w:t>
      </w:r>
      <w:r w:rsidRPr="0042123F">
        <w:rPr>
          <w:rFonts w:ascii="Verdana" w:hAnsi="Verdana"/>
          <w:sz w:val="20"/>
        </w:rPr>
        <w:t xml:space="preserve">, ongeacht de graad, formulering en combinatie) waren IRR’s, vermoeidheid, nausea, diarree, constipatie, pyrexie, dyspneu, hoesten, neutropenie, trombocytopenie, anemie, oedeem perifeer, perifere sensorische neuropathie en bovensteluchtweginfectie. Ernstige </w:t>
      </w:r>
      <w:r w:rsidRPr="0042123F">
        <w:rPr>
          <w:rFonts w:ascii="Verdana" w:hAnsi="Verdana"/>
          <w:sz w:val="20"/>
        </w:rPr>
        <w:lastRenderedPageBreak/>
        <w:t>bijwerkingen waren</w:t>
      </w:r>
      <w:r>
        <w:rPr>
          <w:rFonts w:ascii="Verdana" w:hAnsi="Verdana"/>
          <w:sz w:val="20"/>
        </w:rPr>
        <w:t xml:space="preserve"> </w:t>
      </w:r>
      <w:r w:rsidRPr="0042123F">
        <w:rPr>
          <w:rFonts w:ascii="Verdana" w:hAnsi="Verdana"/>
          <w:sz w:val="20"/>
        </w:rPr>
        <w:t xml:space="preserve">pneumonie, bronchitis, bovensteluchtweginfectie, </w:t>
      </w:r>
      <w:r>
        <w:rPr>
          <w:rFonts w:ascii="Verdana" w:hAnsi="Verdana"/>
          <w:sz w:val="20"/>
        </w:rPr>
        <w:t xml:space="preserve">sepsis, </w:t>
      </w:r>
      <w:r w:rsidRPr="0042123F">
        <w:rPr>
          <w:rFonts w:ascii="Verdana" w:hAnsi="Verdana"/>
          <w:sz w:val="20"/>
        </w:rPr>
        <w:t>longoedeem, griep, pyrexie</w:t>
      </w:r>
      <w:r w:rsidRPr="0042123F">
        <w:rPr>
          <w:rFonts w:ascii="Verdana" w:hAnsi="Verdana"/>
          <w:sz w:val="20"/>
          <w:lang w:eastAsia="en-GB"/>
        </w:rPr>
        <w:t>, dehydratie, diarree</w:t>
      </w:r>
      <w:r>
        <w:rPr>
          <w:rFonts w:ascii="Verdana" w:hAnsi="Verdana"/>
          <w:sz w:val="20"/>
          <w:lang w:eastAsia="en-GB"/>
        </w:rPr>
        <w:t>,</w:t>
      </w:r>
      <w:r w:rsidRPr="0042123F">
        <w:rPr>
          <w:rFonts w:ascii="Verdana" w:hAnsi="Verdana"/>
          <w:sz w:val="20"/>
          <w:lang w:eastAsia="en-GB"/>
        </w:rPr>
        <w:t xml:space="preserve"> atriale </w:t>
      </w:r>
      <w:r w:rsidRPr="00563763">
        <w:rPr>
          <w:rFonts w:ascii="Verdana" w:hAnsi="Verdana"/>
          <w:sz w:val="20"/>
          <w:lang w:eastAsia="en-GB"/>
        </w:rPr>
        <w:t>fibrillatie</w:t>
      </w:r>
      <w:r w:rsidRPr="00E50608">
        <w:rPr>
          <w:rFonts w:ascii="Verdana" w:hAnsi="Verdana"/>
          <w:sz w:val="20"/>
          <w:lang w:eastAsia="en-GB"/>
        </w:rPr>
        <w:t xml:space="preserve"> en </w:t>
      </w:r>
      <w:r w:rsidRPr="00A76286">
        <w:rPr>
          <w:rFonts w:ascii="Verdana" w:hAnsi="Verdana"/>
          <w:sz w:val="20"/>
          <w:lang w:val="nl-BE"/>
        </w:rPr>
        <w:t>syncope</w:t>
      </w:r>
      <w:r w:rsidRPr="0042123F">
        <w:rPr>
          <w:rFonts w:ascii="Verdana" w:hAnsi="Verdana"/>
          <w:sz w:val="20"/>
          <w:lang w:eastAsia="en-GB"/>
        </w:rPr>
        <w:t>.</w:t>
      </w:r>
      <w:r>
        <w:rPr>
          <w:rFonts w:ascii="Verdana" w:hAnsi="Verdana"/>
          <w:sz w:val="20"/>
          <w:lang w:eastAsia="en-GB"/>
        </w:rPr>
        <w:t xml:space="preserve"> </w:t>
      </w:r>
      <w:r w:rsidRPr="00F97E6D">
        <w:rPr>
          <w:rFonts w:ascii="Verdana" w:hAnsi="Verdana"/>
          <w:sz w:val="20"/>
        </w:rPr>
        <w:t>De incidentie van ernstige bijwerkingen was hoger bij oudere dan bij jongere patiënten.</w:t>
      </w:r>
      <w:r w:rsidRPr="0042123F">
        <w:rPr>
          <w:rFonts w:ascii="Verdana" w:hAnsi="Verdana"/>
          <w:sz w:val="20"/>
          <w:lang w:eastAsia="en-GB"/>
        </w:rPr>
        <w:t xml:space="preserve"> </w:t>
      </w:r>
      <w:r w:rsidRPr="0042123F">
        <w:rPr>
          <w:rFonts w:ascii="Verdana" w:hAnsi="Verdana"/>
          <w:sz w:val="20"/>
        </w:rPr>
        <w:t xml:space="preserve">In klinische studies (n = </w:t>
      </w:r>
      <w:r>
        <w:rPr>
          <w:rFonts w:ascii="Verdana" w:hAnsi="Verdana"/>
          <w:sz w:val="20"/>
        </w:rPr>
        <w:t>832</w:t>
      </w:r>
      <w:r w:rsidRPr="0042123F">
        <w:rPr>
          <w:rFonts w:ascii="Verdana" w:hAnsi="Verdana"/>
          <w:sz w:val="20"/>
        </w:rPr>
        <w:t xml:space="preserve">) met Darzalex subcutane formulering bedroeg de incidentie van de IRR’s van alle graden </w:t>
      </w:r>
      <w:r>
        <w:rPr>
          <w:rFonts w:ascii="Verdana" w:hAnsi="Verdana"/>
          <w:sz w:val="20"/>
        </w:rPr>
        <w:t>8,2</w:t>
      </w:r>
      <w:r w:rsidRPr="0042123F">
        <w:rPr>
          <w:rFonts w:ascii="Verdana" w:hAnsi="Verdana"/>
          <w:sz w:val="20"/>
        </w:rPr>
        <w:t>% bij de eerste injectie, 0,</w:t>
      </w:r>
      <w:r>
        <w:rPr>
          <w:rFonts w:ascii="Verdana" w:hAnsi="Verdana"/>
          <w:sz w:val="20"/>
        </w:rPr>
        <w:t>4</w:t>
      </w:r>
      <w:r w:rsidRPr="0042123F">
        <w:rPr>
          <w:rFonts w:ascii="Verdana" w:hAnsi="Verdana"/>
          <w:sz w:val="20"/>
        </w:rPr>
        <w:t xml:space="preserve">% bij de tweede injectie, en </w:t>
      </w:r>
      <w:r>
        <w:rPr>
          <w:rFonts w:ascii="Verdana" w:hAnsi="Verdana"/>
          <w:sz w:val="20"/>
        </w:rPr>
        <w:t>1,1</w:t>
      </w:r>
      <w:r w:rsidRPr="0042123F">
        <w:rPr>
          <w:rFonts w:ascii="Verdana" w:hAnsi="Verdana"/>
          <w:sz w:val="20"/>
        </w:rPr>
        <w:t xml:space="preserve">% bij volgende injecties. Graad 3 IRR’s werden gezien bij </w:t>
      </w:r>
      <w:r>
        <w:rPr>
          <w:rFonts w:ascii="Verdana" w:hAnsi="Verdana"/>
          <w:sz w:val="20"/>
        </w:rPr>
        <w:t>0,8</w:t>
      </w:r>
      <w:r w:rsidRPr="0042123F">
        <w:rPr>
          <w:rFonts w:ascii="Verdana" w:hAnsi="Verdana"/>
          <w:sz w:val="20"/>
        </w:rPr>
        <w:t>% van de patiënten, graad 4 IRR’s kwamen niet voor. De mediane tijd tot begin van IRR’s na een injectie was 3,</w:t>
      </w:r>
      <w:r>
        <w:rPr>
          <w:rFonts w:ascii="Verdana" w:hAnsi="Verdana"/>
          <w:sz w:val="20"/>
        </w:rPr>
        <w:t>2</w:t>
      </w:r>
      <w:r w:rsidRPr="0042123F">
        <w:rPr>
          <w:rFonts w:ascii="Verdana" w:hAnsi="Verdana"/>
          <w:sz w:val="20"/>
        </w:rPr>
        <w:t xml:space="preserve"> uur (</w:t>
      </w:r>
      <w:r>
        <w:rPr>
          <w:rFonts w:ascii="Verdana" w:hAnsi="Verdana"/>
          <w:sz w:val="20"/>
        </w:rPr>
        <w:t>spreiding</w:t>
      </w:r>
      <w:r w:rsidRPr="0042123F">
        <w:rPr>
          <w:rFonts w:ascii="Verdana" w:hAnsi="Verdana"/>
          <w:sz w:val="20"/>
        </w:rPr>
        <w:t>: 0,15-83 uur), vertraagde IRR’s kwamen bij 1%</w:t>
      </w:r>
      <w:r>
        <w:rPr>
          <w:rFonts w:ascii="Verdana" w:hAnsi="Verdana"/>
          <w:sz w:val="20"/>
        </w:rPr>
        <w:t xml:space="preserve"> van de patiënten</w:t>
      </w:r>
      <w:r w:rsidRPr="0042123F">
        <w:rPr>
          <w:rFonts w:ascii="Verdana" w:hAnsi="Verdana"/>
          <w:sz w:val="20"/>
        </w:rPr>
        <w:t xml:space="preserve"> voor.</w:t>
      </w:r>
      <w:r w:rsidRPr="0042123F">
        <w:rPr>
          <w:rFonts w:ascii="Verdana" w:hAnsi="Verdana"/>
          <w:sz w:val="20"/>
          <w:lang w:eastAsia="en-GB"/>
        </w:rPr>
        <w:t xml:space="preserve"> In klinische studies (n = 2.324) met Darzalex intraveneuze formulering bedroeg de incidentie van IRR’s van alle graden 37% bij de eerste infusie, 2% bij de infusie in week 2, en 6% bij volgende infusies. Indien toediening werd onderbroken vanwege stamceltransplantatie, bedroeg de incidentie van IRR’s bij hervatting 11%. Met intraveneuze infusie in verdeelde dosis (8 mg/kg) bedroeg de incidentie van IRR’s van alle graden 36% op dag 1 van week 1, 4% op dag 2 van week 1 en 8% bij volgende infusies. De mediane tijd tot het begin van een reactie bij infusie was 1,5 uur (16 mg/kg, </w:t>
      </w:r>
      <w:r>
        <w:rPr>
          <w:rFonts w:ascii="Verdana" w:hAnsi="Verdana"/>
          <w:sz w:val="20"/>
          <w:lang w:eastAsia="en-GB"/>
        </w:rPr>
        <w:t>spreiding</w:t>
      </w:r>
      <w:r w:rsidRPr="0042123F">
        <w:rPr>
          <w:rFonts w:ascii="Verdana" w:hAnsi="Verdana"/>
          <w:sz w:val="20"/>
          <w:lang w:eastAsia="en-GB"/>
        </w:rPr>
        <w:t xml:space="preserve">: 0 tot 72,8 uur) en 1,8 uur (8 mg/kg, </w:t>
      </w:r>
      <w:r>
        <w:rPr>
          <w:rFonts w:ascii="Verdana" w:hAnsi="Verdana"/>
          <w:sz w:val="20"/>
          <w:lang w:eastAsia="en-GB"/>
        </w:rPr>
        <w:t>spreiding</w:t>
      </w:r>
      <w:r w:rsidRPr="0042123F">
        <w:rPr>
          <w:rFonts w:ascii="Verdana" w:hAnsi="Verdana"/>
          <w:sz w:val="20"/>
          <w:lang w:eastAsia="en-GB"/>
        </w:rPr>
        <w:t xml:space="preserve">: 0,1 tot 5,4 uur). </w:t>
      </w:r>
      <w:r w:rsidRPr="0042123F">
        <w:rPr>
          <w:rFonts w:ascii="Verdana" w:hAnsi="Verdana"/>
          <w:sz w:val="20"/>
        </w:rPr>
        <w:t>In klinische studies (N=</w:t>
      </w:r>
      <w:r>
        <w:rPr>
          <w:rFonts w:ascii="Verdana" w:hAnsi="Verdana"/>
          <w:sz w:val="20"/>
        </w:rPr>
        <w:t>832</w:t>
      </w:r>
      <w:r w:rsidRPr="0042123F">
        <w:rPr>
          <w:rFonts w:ascii="Verdana" w:hAnsi="Verdana"/>
          <w:sz w:val="20"/>
        </w:rPr>
        <w:t xml:space="preserve">) met Darzalex subcutane formulering bedroeg de incidentie van de </w:t>
      </w:r>
      <w:r w:rsidRPr="0042123F">
        <w:rPr>
          <w:rFonts w:ascii="Verdana" w:hAnsi="Verdana"/>
          <w:iCs/>
          <w:sz w:val="20"/>
          <w:lang w:eastAsia="en-GB"/>
        </w:rPr>
        <w:t>injectieplaatsreacties</w:t>
      </w:r>
      <w:r w:rsidRPr="0042123F">
        <w:rPr>
          <w:rFonts w:ascii="Verdana" w:hAnsi="Verdana"/>
          <w:sz w:val="20"/>
        </w:rPr>
        <w:t xml:space="preserve"> </w:t>
      </w:r>
      <w:r>
        <w:rPr>
          <w:rFonts w:ascii="Verdana" w:hAnsi="Verdana"/>
          <w:sz w:val="20"/>
        </w:rPr>
        <w:t>7,7</w:t>
      </w:r>
      <w:r w:rsidRPr="0042123F">
        <w:rPr>
          <w:rFonts w:ascii="Verdana" w:hAnsi="Verdana"/>
          <w:sz w:val="20"/>
        </w:rPr>
        <w:t xml:space="preserve">%, allen van graad 1 of 2. </w:t>
      </w:r>
      <w:r w:rsidRPr="0042123F">
        <w:rPr>
          <w:rFonts w:ascii="Verdana" w:hAnsi="Verdana"/>
          <w:sz w:val="20"/>
          <w:lang w:eastAsia="en-GB"/>
        </w:rPr>
        <w:t>Bij behandeling met Darzalex subcutane formulering als monotherapie bedroeg de incidentie van graad 3 of 4 infecties 11,7%. Bij patiënten die werden behandeld met intraveneuze Darzalex combinatietherapie zijn infecties van graad 3 of 4 gemeld: DVMP: 23%, VMP: 15%;</w:t>
      </w:r>
      <w:r w:rsidRPr="00BC300D">
        <w:rPr>
          <w:rFonts w:ascii="Verdana" w:hAnsi="Verdana"/>
          <w:sz w:val="20"/>
          <w:lang w:eastAsia="en-GB"/>
        </w:rPr>
        <w:t xml:space="preserve"> </w:t>
      </w:r>
      <w:r>
        <w:rPr>
          <w:rFonts w:ascii="Verdana" w:hAnsi="Verdana"/>
          <w:sz w:val="20"/>
          <w:lang w:eastAsia="en-GB"/>
        </w:rPr>
        <w:t>D-VTd: 22%;</w:t>
      </w:r>
      <w:r w:rsidRPr="00BC300D">
        <w:rPr>
          <w:rFonts w:ascii="Verdana" w:hAnsi="Verdana"/>
          <w:sz w:val="20"/>
          <w:lang w:eastAsia="en-GB"/>
        </w:rPr>
        <w:t xml:space="preserve"> </w:t>
      </w:r>
      <w:r>
        <w:rPr>
          <w:rFonts w:ascii="Verdana" w:hAnsi="Verdana"/>
          <w:sz w:val="20"/>
          <w:lang w:eastAsia="en-GB"/>
        </w:rPr>
        <w:t xml:space="preserve">VTd: 20%; DRd: 32%; </w:t>
      </w:r>
      <w:r w:rsidRPr="0042123F">
        <w:rPr>
          <w:rFonts w:ascii="Verdana" w:hAnsi="Verdana"/>
          <w:sz w:val="20"/>
          <w:lang w:eastAsia="en-GB"/>
        </w:rPr>
        <w:t>Rd: 23%</w:t>
      </w:r>
      <w:r>
        <w:rPr>
          <w:rFonts w:ascii="Verdana" w:hAnsi="Verdana"/>
          <w:sz w:val="20"/>
          <w:lang w:eastAsia="en-GB"/>
        </w:rPr>
        <w:t xml:space="preserve"> bij nieuw diagnosticeerde pati</w:t>
      </w:r>
      <w:r w:rsidRPr="0042123F">
        <w:rPr>
          <w:rFonts w:ascii="Verdana" w:hAnsi="Verdana"/>
          <w:sz w:val="20"/>
          <w:lang w:eastAsia="en-GB"/>
        </w:rPr>
        <w:t>ë</w:t>
      </w:r>
      <w:r>
        <w:rPr>
          <w:rFonts w:ascii="Verdana" w:hAnsi="Verdana"/>
          <w:sz w:val="20"/>
          <w:lang w:eastAsia="en-GB"/>
        </w:rPr>
        <w:t>nten en</w:t>
      </w:r>
      <w:r w:rsidRPr="0042123F">
        <w:rPr>
          <w:rFonts w:ascii="Verdana" w:hAnsi="Verdana"/>
          <w:sz w:val="20"/>
          <w:lang w:eastAsia="en-GB"/>
        </w:rPr>
        <w:t xml:space="preserve"> DVd: 21%, Vd: 19%; DRd: 2</w:t>
      </w:r>
      <w:r>
        <w:rPr>
          <w:rFonts w:ascii="Verdana" w:hAnsi="Verdana"/>
          <w:sz w:val="20"/>
          <w:lang w:eastAsia="en-GB"/>
        </w:rPr>
        <w:t>8</w:t>
      </w:r>
      <w:r w:rsidRPr="0042123F">
        <w:rPr>
          <w:rFonts w:ascii="Verdana" w:hAnsi="Verdana"/>
          <w:sz w:val="20"/>
          <w:lang w:eastAsia="en-GB"/>
        </w:rPr>
        <w:t>%, Rd: 23%; DPd: 28%</w:t>
      </w:r>
      <w:r>
        <w:rPr>
          <w:rFonts w:ascii="Verdana" w:hAnsi="Verdana"/>
          <w:sz w:val="20"/>
          <w:lang w:eastAsia="en-GB"/>
        </w:rPr>
        <w:t xml:space="preserve"> bij refractaire ziekte</w:t>
      </w:r>
      <w:r w:rsidRPr="0042123F">
        <w:rPr>
          <w:rFonts w:ascii="Verdana" w:hAnsi="Verdana"/>
          <w:sz w:val="20"/>
          <w:lang w:eastAsia="en-GB"/>
        </w:rPr>
        <w:t xml:space="preserve">. </w:t>
      </w:r>
      <w:r w:rsidRPr="006D2FFE">
        <w:t xml:space="preserve"> </w:t>
      </w:r>
      <w:r w:rsidRPr="005B418C">
        <w:rPr>
          <w:rFonts w:ascii="Verdana" w:hAnsi="Verdana"/>
          <w:sz w:val="20"/>
          <w:lang w:eastAsia="en-GB"/>
        </w:rPr>
        <w:t xml:space="preserve">Bij patiënten met AL-amyloïdose die </w:t>
      </w:r>
      <w:r>
        <w:rPr>
          <w:rFonts w:ascii="Verdana" w:hAnsi="Verdana"/>
          <w:sz w:val="20"/>
          <w:lang w:eastAsia="en-GB"/>
        </w:rPr>
        <w:t>D-VCd</w:t>
      </w:r>
      <w:r w:rsidRPr="005B418C">
        <w:rPr>
          <w:rFonts w:ascii="Verdana" w:hAnsi="Verdana"/>
          <w:sz w:val="20"/>
          <w:lang w:eastAsia="en-GB"/>
        </w:rPr>
        <w:t xml:space="preserve"> kregen, werd het volgende gemeld:</w:t>
      </w:r>
      <w:r>
        <w:rPr>
          <w:rFonts w:ascii="Verdana" w:hAnsi="Verdana"/>
          <w:sz w:val="20"/>
          <w:lang w:eastAsia="en-GB"/>
        </w:rPr>
        <w:t xml:space="preserve"> g</w:t>
      </w:r>
      <w:r w:rsidRPr="005B418C">
        <w:rPr>
          <w:rFonts w:ascii="Verdana" w:hAnsi="Verdana"/>
          <w:sz w:val="20"/>
          <w:lang w:eastAsia="en-GB"/>
        </w:rPr>
        <w:t>raad 3</w:t>
      </w:r>
      <w:r>
        <w:rPr>
          <w:rFonts w:ascii="Verdana" w:hAnsi="Verdana"/>
          <w:sz w:val="20"/>
          <w:lang w:eastAsia="en-GB"/>
        </w:rPr>
        <w:t>/</w:t>
      </w:r>
      <w:r w:rsidRPr="005B418C">
        <w:rPr>
          <w:rFonts w:ascii="Verdana" w:hAnsi="Verdana"/>
          <w:sz w:val="20"/>
          <w:lang w:eastAsia="en-GB"/>
        </w:rPr>
        <w:t>4-infecties: D-VCd: 17%, VCd:10%</w:t>
      </w:r>
      <w:r>
        <w:rPr>
          <w:rFonts w:ascii="Verdana" w:hAnsi="Verdana"/>
          <w:sz w:val="20"/>
          <w:lang w:eastAsia="en-GB"/>
        </w:rPr>
        <w:t>.</w:t>
      </w:r>
    </w:p>
    <w:p w14:paraId="26686D34" w14:textId="77777777" w:rsidR="00D728EB" w:rsidRPr="0042123F" w:rsidRDefault="00D728EB" w:rsidP="00D728EB">
      <w:pPr>
        <w:rPr>
          <w:rFonts w:ascii="Verdana" w:hAnsi="Verdana"/>
          <w:sz w:val="20"/>
        </w:rPr>
      </w:pPr>
      <w:r w:rsidRPr="0042123F">
        <w:rPr>
          <w:rFonts w:ascii="Verdana" w:hAnsi="Verdana"/>
          <w:sz w:val="20"/>
          <w:lang w:eastAsia="en-GB"/>
        </w:rPr>
        <w:t>Pneumonie was de vaakst gemelde ernstige infectie. Het stopzetten van behandeling vanwege infecties kwam voor bij 1-</w:t>
      </w:r>
      <w:r>
        <w:rPr>
          <w:rFonts w:ascii="Verdana" w:hAnsi="Verdana"/>
          <w:sz w:val="20"/>
          <w:lang w:eastAsia="en-GB"/>
        </w:rPr>
        <w:t>4</w:t>
      </w:r>
      <w:r w:rsidRPr="0042123F">
        <w:rPr>
          <w:rFonts w:ascii="Verdana" w:hAnsi="Verdana"/>
          <w:sz w:val="20"/>
          <w:lang w:eastAsia="en-GB"/>
        </w:rPr>
        <w:t xml:space="preserve">% van de patienten. </w:t>
      </w:r>
      <w:r w:rsidRPr="00BB691E">
        <w:rPr>
          <w:rFonts w:ascii="Verdana" w:hAnsi="Verdana"/>
          <w:sz w:val="20"/>
          <w:lang w:eastAsia="en-GB"/>
        </w:rPr>
        <w:t>Bij</w:t>
      </w:r>
      <w:r>
        <w:rPr>
          <w:rFonts w:ascii="Verdana" w:hAnsi="Verdana"/>
          <w:sz w:val="20"/>
          <w:lang w:eastAsia="en-GB"/>
        </w:rPr>
        <w:t xml:space="preserve"> oudere</w:t>
      </w:r>
      <w:r w:rsidRPr="00BB691E">
        <w:rPr>
          <w:rFonts w:ascii="Verdana" w:hAnsi="Verdana"/>
          <w:sz w:val="20"/>
          <w:lang w:eastAsia="en-GB"/>
        </w:rPr>
        <w:t xml:space="preserve"> patiënten (≥65 jaar) met nieuw gediagnosticeerde AL amyloïdose (n=193) was pneumonie de meest voorkomende ernstige bijwerking</w:t>
      </w:r>
      <w:r>
        <w:rPr>
          <w:rFonts w:ascii="Verdana" w:hAnsi="Verdana"/>
          <w:sz w:val="20"/>
          <w:lang w:eastAsia="en-GB"/>
        </w:rPr>
        <w:t>.</w:t>
      </w:r>
      <w:r w:rsidDel="006D2FFE">
        <w:rPr>
          <w:rFonts w:ascii="Verdana" w:hAnsi="Verdana"/>
          <w:sz w:val="20"/>
          <w:lang w:eastAsia="en-GB"/>
        </w:rPr>
        <w:t xml:space="preserve"> </w:t>
      </w:r>
      <w:r>
        <w:rPr>
          <w:rFonts w:ascii="Verdana" w:hAnsi="Verdana"/>
          <w:sz w:val="20"/>
          <w:lang w:eastAsia="en-GB"/>
        </w:rPr>
        <w:t>D</w:t>
      </w:r>
      <w:r w:rsidRPr="0042123F">
        <w:rPr>
          <w:rFonts w:ascii="Verdana" w:hAnsi="Verdana"/>
          <w:sz w:val="20"/>
        </w:rPr>
        <w:t>aratumumab kan invloed hebben op stamcelmobilisatie en de opbrengst van stamcelcollectie (zie SmPC). Het is belangrijk om na toelating van het geneesmiddel vermoedelijke bijwerkingen te melden via</w:t>
      </w:r>
      <w:r w:rsidRPr="006D2FFE">
        <w:t xml:space="preserve"> </w:t>
      </w:r>
      <w:r w:rsidRPr="006D2FFE">
        <w:rPr>
          <w:rFonts w:ascii="Verdana" w:hAnsi="Verdana"/>
          <w:sz w:val="20"/>
        </w:rPr>
        <w:t>www.lareb.</w:t>
      </w:r>
      <w:r>
        <w:rPr>
          <w:rFonts w:ascii="Verdana" w:hAnsi="Verdana"/>
          <w:sz w:val="20"/>
        </w:rPr>
        <w:t>nl</w:t>
      </w:r>
      <w:r w:rsidRPr="0042123F">
        <w:rPr>
          <w:rFonts w:ascii="Verdana" w:hAnsi="Verdana"/>
          <w:sz w:val="20"/>
        </w:rPr>
        <w:t xml:space="preserve">. Om de traceerbaarheid van biologische geneesmiddelen te verbeteren, dienen de merknaam en het batchnummer van het toegediende product duidelijk te worden geregistreerd. </w:t>
      </w:r>
      <w:r w:rsidRPr="0042123F">
        <w:rPr>
          <w:rFonts w:ascii="Verdana" w:hAnsi="Verdana"/>
          <w:b/>
          <w:bCs/>
          <w:sz w:val="20"/>
        </w:rPr>
        <w:t xml:space="preserve">Verpakking </w:t>
      </w:r>
      <w:r w:rsidRPr="0042123F">
        <w:rPr>
          <w:rFonts w:ascii="Verdana" w:hAnsi="Verdana"/>
          <w:sz w:val="20"/>
        </w:rPr>
        <w:t>Type-1</w:t>
      </w:r>
      <w:r w:rsidRPr="0042123F">
        <w:rPr>
          <w:rFonts w:ascii="Verdana" w:hAnsi="Verdana"/>
          <w:sz w:val="20"/>
        </w:rPr>
        <w:noBreakHyphen/>
        <w:t>glazen injectieflacon met elastomeersluiting en aluminiumafsluiting met een flip</w:t>
      </w:r>
      <w:r w:rsidRPr="0042123F">
        <w:rPr>
          <w:rFonts w:ascii="Verdana" w:hAnsi="Verdana"/>
          <w:sz w:val="20"/>
        </w:rPr>
        <w:noBreakHyphen/>
        <w:t>offdop met daarin 1.800 mg daratumumab (15 ml). Type-1</w:t>
      </w:r>
      <w:r w:rsidRPr="0042123F">
        <w:rPr>
          <w:rFonts w:ascii="Verdana" w:hAnsi="Verdana"/>
          <w:sz w:val="20"/>
        </w:rPr>
        <w:noBreakHyphen/>
        <w:t>glazen injectieflacon met elastomeersluiting en aluminium</w:t>
      </w:r>
      <w:r w:rsidRPr="0042123F">
        <w:rPr>
          <w:rFonts w:ascii="Verdana" w:hAnsi="Verdana"/>
          <w:sz w:val="20"/>
        </w:rPr>
        <w:softHyphen/>
        <w:t>afsluiting met een flip</w:t>
      </w:r>
      <w:r w:rsidRPr="0042123F">
        <w:rPr>
          <w:rFonts w:ascii="Verdana" w:hAnsi="Verdana"/>
          <w:sz w:val="20"/>
        </w:rPr>
        <w:noBreakHyphen/>
        <w:t>offdop met daarin 100 mg respectievelijk 400 mg daratumumab. Verpakking met 1 injectieflacon.</w:t>
      </w:r>
      <w:r w:rsidRPr="0042123F">
        <w:rPr>
          <w:rFonts w:ascii="Verdana" w:hAnsi="Verdana"/>
          <w:b/>
          <w:sz w:val="20"/>
        </w:rPr>
        <w:t xml:space="preserve"> </w:t>
      </w:r>
      <w:r>
        <w:rPr>
          <w:rFonts w:ascii="Verdana" w:hAnsi="Verdana"/>
          <w:b/>
          <w:sz w:val="20"/>
        </w:rPr>
        <w:t>Meer i</w:t>
      </w:r>
      <w:r w:rsidRPr="0042123F">
        <w:rPr>
          <w:rFonts w:ascii="Verdana" w:hAnsi="Verdana"/>
          <w:b/>
          <w:sz w:val="20"/>
        </w:rPr>
        <w:t xml:space="preserve">nformatie </w:t>
      </w:r>
      <w:r>
        <w:rPr>
          <w:rFonts w:ascii="Verdana" w:hAnsi="Verdana"/>
          <w:b/>
          <w:sz w:val="20"/>
        </w:rPr>
        <w:t xml:space="preserve">is </w:t>
      </w:r>
      <w:r w:rsidRPr="0042123F">
        <w:rPr>
          <w:rFonts w:ascii="Verdana" w:hAnsi="Verdana"/>
          <w:b/>
          <w:sz w:val="20"/>
        </w:rPr>
        <w:t xml:space="preserve">beschikbaar op www.janssen.com/nederland. Datum </w:t>
      </w:r>
      <w:r>
        <w:rPr>
          <w:rFonts w:ascii="Verdana" w:hAnsi="Verdana"/>
          <w:sz w:val="20"/>
        </w:rPr>
        <w:t>maart 2022</w:t>
      </w:r>
      <w:r w:rsidRPr="0042123F">
        <w:rPr>
          <w:rFonts w:ascii="Verdana" w:hAnsi="Verdana"/>
          <w:sz w:val="20"/>
        </w:rPr>
        <w:t>.</w:t>
      </w:r>
    </w:p>
    <w:p w14:paraId="0D7CDC81" w14:textId="0A23FCA9" w:rsidR="00D728EB" w:rsidRPr="00D728EB" w:rsidRDefault="00D728EB" w:rsidP="00D728EB">
      <w:pPr>
        <w:rPr>
          <w:rFonts w:ascii="Verdana" w:hAnsi="Verdana"/>
          <w:sz w:val="20"/>
        </w:rPr>
      </w:pPr>
    </w:p>
    <w:p w14:paraId="21A090ED" w14:textId="27E48A0C" w:rsidR="00D728EB" w:rsidRPr="00D728EB" w:rsidRDefault="00D728EB" w:rsidP="00D728EB">
      <w:pPr>
        <w:rPr>
          <w:rFonts w:ascii="Verdana" w:hAnsi="Verdana"/>
          <w:sz w:val="20"/>
        </w:rPr>
      </w:pPr>
    </w:p>
    <w:p w14:paraId="0590BFCF" w14:textId="1D1B2CB0" w:rsidR="00D728EB" w:rsidRPr="00D728EB" w:rsidRDefault="00D728EB" w:rsidP="00D728EB">
      <w:pPr>
        <w:rPr>
          <w:rFonts w:ascii="Verdana" w:hAnsi="Verdana"/>
          <w:sz w:val="20"/>
        </w:rPr>
      </w:pPr>
    </w:p>
    <w:p w14:paraId="368E102A" w14:textId="030EE5E4" w:rsidR="00D728EB" w:rsidRPr="00D728EB" w:rsidRDefault="00D728EB" w:rsidP="00D728EB">
      <w:pPr>
        <w:rPr>
          <w:rFonts w:ascii="Verdana" w:hAnsi="Verdana"/>
          <w:sz w:val="20"/>
        </w:rPr>
      </w:pPr>
    </w:p>
    <w:p w14:paraId="6D960C01" w14:textId="30577AB4" w:rsidR="00D728EB" w:rsidRPr="00D728EB" w:rsidRDefault="00D728EB" w:rsidP="00D728EB">
      <w:pPr>
        <w:rPr>
          <w:rFonts w:ascii="Verdana" w:hAnsi="Verdana"/>
          <w:sz w:val="20"/>
        </w:rPr>
      </w:pPr>
    </w:p>
    <w:p w14:paraId="270B0B02" w14:textId="6DB2075E" w:rsidR="00D728EB" w:rsidRPr="00D728EB" w:rsidRDefault="00D728EB" w:rsidP="00D728EB">
      <w:pPr>
        <w:rPr>
          <w:rFonts w:ascii="Verdana" w:hAnsi="Verdana"/>
          <w:sz w:val="20"/>
        </w:rPr>
      </w:pPr>
    </w:p>
    <w:p w14:paraId="61D19177" w14:textId="6D95B142" w:rsidR="00D728EB" w:rsidRPr="00D728EB" w:rsidRDefault="00D728EB" w:rsidP="00D728EB">
      <w:pPr>
        <w:tabs>
          <w:tab w:val="left" w:pos="7560"/>
        </w:tabs>
        <w:rPr>
          <w:rFonts w:ascii="Verdana" w:hAnsi="Verdana"/>
          <w:sz w:val="20"/>
        </w:rPr>
      </w:pPr>
      <w:r>
        <w:rPr>
          <w:rFonts w:ascii="Verdana" w:hAnsi="Verdana"/>
          <w:sz w:val="20"/>
        </w:rPr>
        <w:tab/>
      </w:r>
    </w:p>
    <w:p w14:paraId="3964DD97" w14:textId="77777777" w:rsidR="00D728EB" w:rsidRPr="00D728EB" w:rsidRDefault="00D728EB" w:rsidP="00D728EB">
      <w:pPr>
        <w:rPr>
          <w:rFonts w:ascii="Verdana" w:hAnsi="Verdana"/>
          <w:sz w:val="20"/>
        </w:rPr>
      </w:pPr>
    </w:p>
    <w:sectPr w:rsidR="00D728EB" w:rsidRPr="00D728EB" w:rsidSect="00043684">
      <w:footerReference w:type="default" r:id="rId14"/>
      <w:pgSz w:w="12240" w:h="15840" w:code="1"/>
      <w:pgMar w:top="1412" w:right="1440" w:bottom="822" w:left="1440"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131924" w14:textId="77777777" w:rsidR="00BD2F9C" w:rsidRDefault="00BD2F9C" w:rsidP="00905F75">
      <w:r>
        <w:separator/>
      </w:r>
    </w:p>
  </w:endnote>
  <w:endnote w:type="continuationSeparator" w:id="0">
    <w:p w14:paraId="6F174DFD" w14:textId="77777777" w:rsidR="00BD2F9C" w:rsidRDefault="00BD2F9C" w:rsidP="00905F75">
      <w:r>
        <w:continuationSeparator/>
      </w:r>
    </w:p>
  </w:endnote>
  <w:endnote w:type="continuationNotice" w:id="1">
    <w:p w14:paraId="683D7D24" w14:textId="77777777" w:rsidR="00BD2F9C" w:rsidRDefault="00BD2F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TD70Do00">
    <w:altName w:val="MS Mincho"/>
    <w:panose1 w:val="00000000000000000000"/>
    <w:charset w:val="80"/>
    <w:family w:val="auto"/>
    <w:notTrueType/>
    <w:pitch w:val="default"/>
    <w:sig w:usb0="00000003" w:usb1="08070000" w:usb2="00000010" w:usb3="00000000" w:csb0="0002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E8656" w14:textId="45E19512" w:rsidR="001F7A05" w:rsidRPr="00D728EB" w:rsidRDefault="00DC21F0" w:rsidP="009034B6">
    <w:pPr>
      <w:pStyle w:val="Footer"/>
      <w:jc w:val="right"/>
      <w:rPr>
        <w:rFonts w:ascii="Verdana" w:hAnsi="Verdana"/>
        <w:sz w:val="16"/>
        <w:szCs w:val="16"/>
        <w:lang w:val="en-US"/>
      </w:rPr>
    </w:pPr>
    <w:r w:rsidRPr="00D728EB">
      <w:rPr>
        <w:rFonts w:ascii="Verdana" w:hAnsi="Verdana"/>
        <w:sz w:val="16"/>
        <w:szCs w:val="16"/>
        <w:lang w:val="en-US"/>
      </w:rPr>
      <w:t>©Janssen-Cilag -</w:t>
    </w:r>
    <w:r w:rsidR="00EF57EC" w:rsidRPr="00D728EB">
      <w:rPr>
        <w:rFonts w:ascii="Verdana" w:hAnsi="Verdana"/>
        <w:sz w:val="16"/>
        <w:szCs w:val="16"/>
        <w:lang w:val="en-US"/>
      </w:rPr>
      <w:t xml:space="preserve"> EM-</w:t>
    </w:r>
    <w:r w:rsidR="009875B0" w:rsidRPr="00D728EB">
      <w:rPr>
        <w:rFonts w:ascii="Verdana" w:hAnsi="Verdana"/>
        <w:sz w:val="16"/>
        <w:szCs w:val="16"/>
        <w:lang w:val="en-US"/>
      </w:rPr>
      <w:t>82982</w:t>
    </w:r>
    <w:r w:rsidR="00EF57EC" w:rsidRPr="00D728EB">
      <w:rPr>
        <w:rFonts w:ascii="Verdana" w:hAnsi="Verdana"/>
        <w:sz w:val="16"/>
        <w:szCs w:val="16"/>
        <w:lang w:val="en-US"/>
      </w:rPr>
      <w:t xml:space="preserve">– </w:t>
    </w:r>
    <w:r w:rsidR="00D728EB" w:rsidRPr="00D728EB">
      <w:rPr>
        <w:rFonts w:ascii="Verdana" w:hAnsi="Verdana"/>
        <w:sz w:val="16"/>
        <w:szCs w:val="16"/>
        <w:lang w:val="en-US"/>
      </w:rPr>
      <w:t>Approval date: 0</w:t>
    </w:r>
    <w:r w:rsidR="00043684">
      <w:rPr>
        <w:rFonts w:ascii="Verdana" w:hAnsi="Verdana"/>
        <w:sz w:val="16"/>
        <w:szCs w:val="16"/>
        <w:lang w:val="en-US"/>
      </w:rPr>
      <w:t>7</w:t>
    </w:r>
    <w:r w:rsidR="00D728EB" w:rsidRPr="00D728EB">
      <w:rPr>
        <w:rFonts w:ascii="Verdana" w:hAnsi="Verdana"/>
        <w:sz w:val="16"/>
        <w:szCs w:val="16"/>
        <w:lang w:val="en-US"/>
      </w:rPr>
      <w:t>-20</w:t>
    </w:r>
    <w:r w:rsidR="00043684">
      <w:rPr>
        <w:rFonts w:ascii="Verdana" w:hAnsi="Verdana"/>
        <w:sz w:val="16"/>
        <w:szCs w:val="16"/>
        <w:lang w:val="en-US"/>
      </w:rPr>
      <w:t>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EFD0FD" w14:textId="77777777" w:rsidR="00BD2F9C" w:rsidRDefault="00BD2F9C" w:rsidP="00905F75">
      <w:r>
        <w:separator/>
      </w:r>
    </w:p>
  </w:footnote>
  <w:footnote w:type="continuationSeparator" w:id="0">
    <w:p w14:paraId="3D509902" w14:textId="77777777" w:rsidR="00BD2F9C" w:rsidRDefault="00BD2F9C" w:rsidP="00905F75">
      <w:r>
        <w:continuationSeparator/>
      </w:r>
    </w:p>
  </w:footnote>
  <w:footnote w:type="continuationNotice" w:id="1">
    <w:p w14:paraId="2CC7F280" w14:textId="77777777" w:rsidR="00BD2F9C" w:rsidRDefault="00BD2F9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B35BA"/>
    <w:multiLevelType w:val="hybridMultilevel"/>
    <w:tmpl w:val="B6848298"/>
    <w:lvl w:ilvl="0" w:tplc="C510AD86">
      <w:start w:val="9"/>
      <w:numFmt w:val="decimal"/>
      <w:lvlText w:val="%1"/>
      <w:lvlJc w:val="left"/>
      <w:pPr>
        <w:tabs>
          <w:tab w:val="num" w:pos="360"/>
        </w:tabs>
        <w:ind w:left="340" w:hanging="340"/>
      </w:pPr>
      <w:rPr>
        <w:rFonts w:hint="default"/>
      </w:rPr>
    </w:lvl>
    <w:lvl w:ilvl="1" w:tplc="6DE0B5B6" w:tentative="1">
      <w:start w:val="1"/>
      <w:numFmt w:val="lowerLetter"/>
      <w:lvlText w:val="%2."/>
      <w:lvlJc w:val="left"/>
      <w:pPr>
        <w:tabs>
          <w:tab w:val="num" w:pos="1440"/>
        </w:tabs>
        <w:ind w:left="1440" w:hanging="360"/>
      </w:pPr>
    </w:lvl>
    <w:lvl w:ilvl="2" w:tplc="AED219F8" w:tentative="1">
      <w:start w:val="1"/>
      <w:numFmt w:val="lowerRoman"/>
      <w:lvlText w:val="%3."/>
      <w:lvlJc w:val="right"/>
      <w:pPr>
        <w:tabs>
          <w:tab w:val="num" w:pos="2160"/>
        </w:tabs>
        <w:ind w:left="2160" w:hanging="180"/>
      </w:pPr>
    </w:lvl>
    <w:lvl w:ilvl="3" w:tplc="A20C144E" w:tentative="1">
      <w:start w:val="1"/>
      <w:numFmt w:val="decimal"/>
      <w:lvlText w:val="%4."/>
      <w:lvlJc w:val="left"/>
      <w:pPr>
        <w:tabs>
          <w:tab w:val="num" w:pos="2880"/>
        </w:tabs>
        <w:ind w:left="2880" w:hanging="360"/>
      </w:pPr>
    </w:lvl>
    <w:lvl w:ilvl="4" w:tplc="7A68760E" w:tentative="1">
      <w:start w:val="1"/>
      <w:numFmt w:val="lowerLetter"/>
      <w:lvlText w:val="%5."/>
      <w:lvlJc w:val="left"/>
      <w:pPr>
        <w:tabs>
          <w:tab w:val="num" w:pos="3600"/>
        </w:tabs>
        <w:ind w:left="3600" w:hanging="360"/>
      </w:pPr>
    </w:lvl>
    <w:lvl w:ilvl="5" w:tplc="642205B2" w:tentative="1">
      <w:start w:val="1"/>
      <w:numFmt w:val="lowerRoman"/>
      <w:lvlText w:val="%6."/>
      <w:lvlJc w:val="right"/>
      <w:pPr>
        <w:tabs>
          <w:tab w:val="num" w:pos="4320"/>
        </w:tabs>
        <w:ind w:left="4320" w:hanging="180"/>
      </w:pPr>
    </w:lvl>
    <w:lvl w:ilvl="6" w:tplc="E04689E8" w:tentative="1">
      <w:start w:val="1"/>
      <w:numFmt w:val="decimal"/>
      <w:lvlText w:val="%7."/>
      <w:lvlJc w:val="left"/>
      <w:pPr>
        <w:tabs>
          <w:tab w:val="num" w:pos="5040"/>
        </w:tabs>
        <w:ind w:left="5040" w:hanging="360"/>
      </w:pPr>
    </w:lvl>
    <w:lvl w:ilvl="7" w:tplc="FF040B3C" w:tentative="1">
      <w:start w:val="1"/>
      <w:numFmt w:val="lowerLetter"/>
      <w:lvlText w:val="%8."/>
      <w:lvlJc w:val="left"/>
      <w:pPr>
        <w:tabs>
          <w:tab w:val="num" w:pos="5760"/>
        </w:tabs>
        <w:ind w:left="5760" w:hanging="360"/>
      </w:pPr>
    </w:lvl>
    <w:lvl w:ilvl="8" w:tplc="41F6FEE8" w:tentative="1">
      <w:start w:val="1"/>
      <w:numFmt w:val="lowerRoman"/>
      <w:lvlText w:val="%9."/>
      <w:lvlJc w:val="right"/>
      <w:pPr>
        <w:tabs>
          <w:tab w:val="num" w:pos="6480"/>
        </w:tabs>
        <w:ind w:left="6480" w:hanging="180"/>
      </w:pPr>
    </w:lvl>
  </w:abstractNum>
  <w:abstractNum w:abstractNumId="1" w15:restartNumberingAfterBreak="0">
    <w:nsid w:val="1493101B"/>
    <w:multiLevelType w:val="hybridMultilevel"/>
    <w:tmpl w:val="FA60EAB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15020FA5"/>
    <w:multiLevelType w:val="hybridMultilevel"/>
    <w:tmpl w:val="C2FAA6B8"/>
    <w:lvl w:ilvl="0" w:tplc="913AD714">
      <w:start w:val="1"/>
      <w:numFmt w:val="decimal"/>
      <w:lvlText w:val="%1"/>
      <w:lvlJc w:val="left"/>
      <w:pPr>
        <w:tabs>
          <w:tab w:val="num" w:pos="360"/>
        </w:tabs>
        <w:ind w:left="340" w:hanging="340"/>
      </w:pPr>
      <w:rPr>
        <w:rFonts w:hint="default"/>
      </w:rPr>
    </w:lvl>
    <w:lvl w:ilvl="1" w:tplc="D9BC8BB0">
      <w:start w:val="1"/>
      <w:numFmt w:val="bullet"/>
      <w:lvlText w:val=""/>
      <w:lvlJc w:val="left"/>
      <w:pPr>
        <w:tabs>
          <w:tab w:val="num" w:pos="700"/>
        </w:tabs>
        <w:ind w:left="680" w:hanging="340"/>
      </w:pPr>
      <w:rPr>
        <w:rFonts w:ascii="Symbol" w:hAnsi="Symbol" w:hint="default"/>
      </w:rPr>
    </w:lvl>
    <w:lvl w:ilvl="2" w:tplc="6E88F408" w:tentative="1">
      <w:start w:val="1"/>
      <w:numFmt w:val="lowerRoman"/>
      <w:lvlText w:val="%3."/>
      <w:lvlJc w:val="right"/>
      <w:pPr>
        <w:tabs>
          <w:tab w:val="num" w:pos="2160"/>
        </w:tabs>
        <w:ind w:left="2160" w:hanging="180"/>
      </w:pPr>
    </w:lvl>
    <w:lvl w:ilvl="3" w:tplc="5C0832E0" w:tentative="1">
      <w:start w:val="1"/>
      <w:numFmt w:val="decimal"/>
      <w:lvlText w:val="%4."/>
      <w:lvlJc w:val="left"/>
      <w:pPr>
        <w:tabs>
          <w:tab w:val="num" w:pos="2880"/>
        </w:tabs>
        <w:ind w:left="2880" w:hanging="360"/>
      </w:pPr>
    </w:lvl>
    <w:lvl w:ilvl="4" w:tplc="2F88DB12" w:tentative="1">
      <w:start w:val="1"/>
      <w:numFmt w:val="lowerLetter"/>
      <w:lvlText w:val="%5."/>
      <w:lvlJc w:val="left"/>
      <w:pPr>
        <w:tabs>
          <w:tab w:val="num" w:pos="3600"/>
        </w:tabs>
        <w:ind w:left="3600" w:hanging="360"/>
      </w:pPr>
    </w:lvl>
    <w:lvl w:ilvl="5" w:tplc="02D883D8" w:tentative="1">
      <w:start w:val="1"/>
      <w:numFmt w:val="lowerRoman"/>
      <w:lvlText w:val="%6."/>
      <w:lvlJc w:val="right"/>
      <w:pPr>
        <w:tabs>
          <w:tab w:val="num" w:pos="4320"/>
        </w:tabs>
        <w:ind w:left="4320" w:hanging="180"/>
      </w:pPr>
    </w:lvl>
    <w:lvl w:ilvl="6" w:tplc="8BE0B0AC" w:tentative="1">
      <w:start w:val="1"/>
      <w:numFmt w:val="decimal"/>
      <w:lvlText w:val="%7."/>
      <w:lvlJc w:val="left"/>
      <w:pPr>
        <w:tabs>
          <w:tab w:val="num" w:pos="5040"/>
        </w:tabs>
        <w:ind w:left="5040" w:hanging="360"/>
      </w:pPr>
    </w:lvl>
    <w:lvl w:ilvl="7" w:tplc="3D181C10" w:tentative="1">
      <w:start w:val="1"/>
      <w:numFmt w:val="lowerLetter"/>
      <w:lvlText w:val="%8."/>
      <w:lvlJc w:val="left"/>
      <w:pPr>
        <w:tabs>
          <w:tab w:val="num" w:pos="5760"/>
        </w:tabs>
        <w:ind w:left="5760" w:hanging="360"/>
      </w:pPr>
    </w:lvl>
    <w:lvl w:ilvl="8" w:tplc="FAFC3AA2" w:tentative="1">
      <w:start w:val="1"/>
      <w:numFmt w:val="lowerRoman"/>
      <w:lvlText w:val="%9."/>
      <w:lvlJc w:val="right"/>
      <w:pPr>
        <w:tabs>
          <w:tab w:val="num" w:pos="6480"/>
        </w:tabs>
        <w:ind w:left="6480" w:hanging="180"/>
      </w:pPr>
    </w:lvl>
  </w:abstractNum>
  <w:abstractNum w:abstractNumId="3" w15:restartNumberingAfterBreak="0">
    <w:nsid w:val="18F40324"/>
    <w:multiLevelType w:val="hybridMultilevel"/>
    <w:tmpl w:val="661CA5B0"/>
    <w:lvl w:ilvl="0" w:tplc="E94812BC">
      <w:start w:val="1"/>
      <w:numFmt w:val="bullet"/>
      <w:lvlText w:val=""/>
      <w:lvlJc w:val="left"/>
      <w:pPr>
        <w:ind w:left="720" w:hanging="360"/>
      </w:pPr>
      <w:rPr>
        <w:rFonts w:ascii="Symbol" w:hAnsi="Symbol" w:hint="default"/>
      </w:rPr>
    </w:lvl>
    <w:lvl w:ilvl="1" w:tplc="39CEE6A2">
      <w:start w:val="1"/>
      <w:numFmt w:val="bullet"/>
      <w:lvlText w:val="o"/>
      <w:lvlJc w:val="left"/>
      <w:pPr>
        <w:ind w:left="1440" w:hanging="360"/>
      </w:pPr>
      <w:rPr>
        <w:rFonts w:ascii="Courier New" w:hAnsi="Courier New" w:hint="default"/>
      </w:rPr>
    </w:lvl>
    <w:lvl w:ilvl="2" w:tplc="9578C8EA">
      <w:start w:val="1"/>
      <w:numFmt w:val="bullet"/>
      <w:lvlText w:val=""/>
      <w:lvlJc w:val="left"/>
      <w:pPr>
        <w:ind w:left="2160" w:hanging="360"/>
      </w:pPr>
      <w:rPr>
        <w:rFonts w:ascii="Wingdings" w:hAnsi="Wingdings" w:hint="default"/>
      </w:rPr>
    </w:lvl>
    <w:lvl w:ilvl="3" w:tplc="2D00C586">
      <w:start w:val="1"/>
      <w:numFmt w:val="bullet"/>
      <w:lvlText w:val=""/>
      <w:lvlJc w:val="left"/>
      <w:pPr>
        <w:ind w:left="2880" w:hanging="360"/>
      </w:pPr>
      <w:rPr>
        <w:rFonts w:ascii="Symbol" w:hAnsi="Symbol" w:hint="default"/>
      </w:rPr>
    </w:lvl>
    <w:lvl w:ilvl="4" w:tplc="23060B0A">
      <w:start w:val="1"/>
      <w:numFmt w:val="bullet"/>
      <w:lvlText w:val="o"/>
      <w:lvlJc w:val="left"/>
      <w:pPr>
        <w:ind w:left="3600" w:hanging="360"/>
      </w:pPr>
      <w:rPr>
        <w:rFonts w:ascii="Courier New" w:hAnsi="Courier New" w:hint="default"/>
      </w:rPr>
    </w:lvl>
    <w:lvl w:ilvl="5" w:tplc="E53AA594">
      <w:start w:val="1"/>
      <w:numFmt w:val="bullet"/>
      <w:lvlText w:val=""/>
      <w:lvlJc w:val="left"/>
      <w:pPr>
        <w:ind w:left="4320" w:hanging="360"/>
      </w:pPr>
      <w:rPr>
        <w:rFonts w:ascii="Wingdings" w:hAnsi="Wingdings" w:hint="default"/>
      </w:rPr>
    </w:lvl>
    <w:lvl w:ilvl="6" w:tplc="CC124AF0">
      <w:start w:val="1"/>
      <w:numFmt w:val="bullet"/>
      <w:lvlText w:val=""/>
      <w:lvlJc w:val="left"/>
      <w:pPr>
        <w:ind w:left="5040" w:hanging="360"/>
      </w:pPr>
      <w:rPr>
        <w:rFonts w:ascii="Symbol" w:hAnsi="Symbol" w:hint="default"/>
      </w:rPr>
    </w:lvl>
    <w:lvl w:ilvl="7" w:tplc="4C466B28">
      <w:start w:val="1"/>
      <w:numFmt w:val="bullet"/>
      <w:lvlText w:val="o"/>
      <w:lvlJc w:val="left"/>
      <w:pPr>
        <w:ind w:left="5760" w:hanging="360"/>
      </w:pPr>
      <w:rPr>
        <w:rFonts w:ascii="Courier New" w:hAnsi="Courier New" w:hint="default"/>
      </w:rPr>
    </w:lvl>
    <w:lvl w:ilvl="8" w:tplc="4358FA10">
      <w:start w:val="1"/>
      <w:numFmt w:val="bullet"/>
      <w:lvlText w:val=""/>
      <w:lvlJc w:val="left"/>
      <w:pPr>
        <w:ind w:left="6480" w:hanging="360"/>
      </w:pPr>
      <w:rPr>
        <w:rFonts w:ascii="Wingdings" w:hAnsi="Wingdings" w:hint="default"/>
      </w:rPr>
    </w:lvl>
  </w:abstractNum>
  <w:abstractNum w:abstractNumId="4" w15:restartNumberingAfterBreak="0">
    <w:nsid w:val="25626A21"/>
    <w:multiLevelType w:val="hybridMultilevel"/>
    <w:tmpl w:val="7DAA6160"/>
    <w:lvl w:ilvl="0" w:tplc="E69C89F2">
      <w:start w:val="1"/>
      <w:numFmt w:val="bullet"/>
      <w:lvlText w:val=""/>
      <w:lvlJc w:val="left"/>
      <w:pPr>
        <w:tabs>
          <w:tab w:val="num" w:pos="360"/>
        </w:tabs>
        <w:ind w:left="340" w:hanging="340"/>
      </w:pPr>
      <w:rPr>
        <w:rFonts w:ascii="Symbol" w:hAnsi="Symbol" w:hint="default"/>
      </w:rPr>
    </w:lvl>
    <w:lvl w:ilvl="1" w:tplc="827EB7F2" w:tentative="1">
      <w:start w:val="1"/>
      <w:numFmt w:val="bullet"/>
      <w:lvlText w:val="o"/>
      <w:lvlJc w:val="left"/>
      <w:pPr>
        <w:tabs>
          <w:tab w:val="num" w:pos="1440"/>
        </w:tabs>
        <w:ind w:left="1440" w:hanging="360"/>
      </w:pPr>
      <w:rPr>
        <w:rFonts w:ascii="Courier New" w:hAnsi="Courier New" w:hint="default"/>
      </w:rPr>
    </w:lvl>
    <w:lvl w:ilvl="2" w:tplc="39B07652" w:tentative="1">
      <w:start w:val="1"/>
      <w:numFmt w:val="bullet"/>
      <w:lvlText w:val=""/>
      <w:lvlJc w:val="left"/>
      <w:pPr>
        <w:tabs>
          <w:tab w:val="num" w:pos="2160"/>
        </w:tabs>
        <w:ind w:left="2160" w:hanging="360"/>
      </w:pPr>
      <w:rPr>
        <w:rFonts w:ascii="Wingdings" w:hAnsi="Wingdings" w:hint="default"/>
      </w:rPr>
    </w:lvl>
    <w:lvl w:ilvl="3" w:tplc="A230AFCE" w:tentative="1">
      <w:start w:val="1"/>
      <w:numFmt w:val="bullet"/>
      <w:lvlText w:val=""/>
      <w:lvlJc w:val="left"/>
      <w:pPr>
        <w:tabs>
          <w:tab w:val="num" w:pos="2880"/>
        </w:tabs>
        <w:ind w:left="2880" w:hanging="360"/>
      </w:pPr>
      <w:rPr>
        <w:rFonts w:ascii="Symbol" w:hAnsi="Symbol" w:hint="default"/>
      </w:rPr>
    </w:lvl>
    <w:lvl w:ilvl="4" w:tplc="F336FC04" w:tentative="1">
      <w:start w:val="1"/>
      <w:numFmt w:val="bullet"/>
      <w:lvlText w:val="o"/>
      <w:lvlJc w:val="left"/>
      <w:pPr>
        <w:tabs>
          <w:tab w:val="num" w:pos="3600"/>
        </w:tabs>
        <w:ind w:left="3600" w:hanging="360"/>
      </w:pPr>
      <w:rPr>
        <w:rFonts w:ascii="Courier New" w:hAnsi="Courier New" w:hint="default"/>
      </w:rPr>
    </w:lvl>
    <w:lvl w:ilvl="5" w:tplc="D450B69A" w:tentative="1">
      <w:start w:val="1"/>
      <w:numFmt w:val="bullet"/>
      <w:lvlText w:val=""/>
      <w:lvlJc w:val="left"/>
      <w:pPr>
        <w:tabs>
          <w:tab w:val="num" w:pos="4320"/>
        </w:tabs>
        <w:ind w:left="4320" w:hanging="360"/>
      </w:pPr>
      <w:rPr>
        <w:rFonts w:ascii="Wingdings" w:hAnsi="Wingdings" w:hint="default"/>
      </w:rPr>
    </w:lvl>
    <w:lvl w:ilvl="6" w:tplc="B7942300" w:tentative="1">
      <w:start w:val="1"/>
      <w:numFmt w:val="bullet"/>
      <w:lvlText w:val=""/>
      <w:lvlJc w:val="left"/>
      <w:pPr>
        <w:tabs>
          <w:tab w:val="num" w:pos="5040"/>
        </w:tabs>
        <w:ind w:left="5040" w:hanging="360"/>
      </w:pPr>
      <w:rPr>
        <w:rFonts w:ascii="Symbol" w:hAnsi="Symbol" w:hint="default"/>
      </w:rPr>
    </w:lvl>
    <w:lvl w:ilvl="7" w:tplc="190C3B72" w:tentative="1">
      <w:start w:val="1"/>
      <w:numFmt w:val="bullet"/>
      <w:lvlText w:val="o"/>
      <w:lvlJc w:val="left"/>
      <w:pPr>
        <w:tabs>
          <w:tab w:val="num" w:pos="5760"/>
        </w:tabs>
        <w:ind w:left="5760" w:hanging="360"/>
      </w:pPr>
      <w:rPr>
        <w:rFonts w:ascii="Courier New" w:hAnsi="Courier New" w:hint="default"/>
      </w:rPr>
    </w:lvl>
    <w:lvl w:ilvl="8" w:tplc="03C261F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F2E2326"/>
    <w:multiLevelType w:val="hybridMultilevel"/>
    <w:tmpl w:val="10EA3436"/>
    <w:lvl w:ilvl="0" w:tplc="C9CC1AF2">
      <w:start w:val="51"/>
      <w:numFmt w:val="bullet"/>
      <w:lvlText w:val="-"/>
      <w:lvlJc w:val="left"/>
      <w:pPr>
        <w:ind w:left="720" w:hanging="360"/>
      </w:pPr>
      <w:rPr>
        <w:rFonts w:ascii="Verdana" w:eastAsia="SimSu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FF2A6D"/>
    <w:multiLevelType w:val="hybridMultilevel"/>
    <w:tmpl w:val="A7142182"/>
    <w:lvl w:ilvl="0" w:tplc="FFFFFFFF">
      <w:start w:val="1"/>
      <w:numFmt w:val="bullet"/>
      <w:lvlText w:val=""/>
      <w:lvlJc w:val="left"/>
      <w:pPr>
        <w:tabs>
          <w:tab w:val="num" w:pos="360"/>
        </w:tabs>
        <w:ind w:left="340" w:hanging="34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DFA5733"/>
    <w:multiLevelType w:val="hybridMultilevel"/>
    <w:tmpl w:val="1DE2C022"/>
    <w:lvl w:ilvl="0" w:tplc="FFFFFFFF">
      <w:start w:val="1"/>
      <w:numFmt w:val="bullet"/>
      <w:lvlText w:val=""/>
      <w:lvlJc w:val="left"/>
      <w:pPr>
        <w:tabs>
          <w:tab w:val="num" w:pos="360"/>
        </w:tabs>
        <w:ind w:left="340" w:hanging="34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E5E4A15"/>
    <w:multiLevelType w:val="hybridMultilevel"/>
    <w:tmpl w:val="ABDC8D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13D0540"/>
    <w:multiLevelType w:val="hybridMultilevel"/>
    <w:tmpl w:val="8174BCBC"/>
    <w:lvl w:ilvl="0" w:tplc="B496680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BB7025"/>
    <w:multiLevelType w:val="hybridMultilevel"/>
    <w:tmpl w:val="147425E4"/>
    <w:lvl w:ilvl="0" w:tplc="04090001">
      <w:start w:val="1"/>
      <w:numFmt w:val="bullet"/>
      <w:lvlText w:val=""/>
      <w:lvlJc w:val="left"/>
      <w:pPr>
        <w:ind w:left="788" w:hanging="360"/>
      </w:pPr>
      <w:rPr>
        <w:rFonts w:ascii="Symbol" w:hAnsi="Symbol" w:hint="default"/>
      </w:rPr>
    </w:lvl>
    <w:lvl w:ilvl="1" w:tplc="04090003" w:tentative="1">
      <w:start w:val="1"/>
      <w:numFmt w:val="bullet"/>
      <w:lvlText w:val="o"/>
      <w:lvlJc w:val="left"/>
      <w:pPr>
        <w:ind w:left="1508" w:hanging="360"/>
      </w:pPr>
      <w:rPr>
        <w:rFonts w:ascii="Courier New" w:hAnsi="Courier New" w:cs="Courier New" w:hint="default"/>
      </w:rPr>
    </w:lvl>
    <w:lvl w:ilvl="2" w:tplc="04090005" w:tentative="1">
      <w:start w:val="1"/>
      <w:numFmt w:val="bullet"/>
      <w:lvlText w:val=""/>
      <w:lvlJc w:val="left"/>
      <w:pPr>
        <w:ind w:left="2228" w:hanging="360"/>
      </w:pPr>
      <w:rPr>
        <w:rFonts w:ascii="Wingdings" w:hAnsi="Wingdings" w:hint="default"/>
      </w:rPr>
    </w:lvl>
    <w:lvl w:ilvl="3" w:tplc="04090001" w:tentative="1">
      <w:start w:val="1"/>
      <w:numFmt w:val="bullet"/>
      <w:lvlText w:val=""/>
      <w:lvlJc w:val="left"/>
      <w:pPr>
        <w:ind w:left="2948" w:hanging="360"/>
      </w:pPr>
      <w:rPr>
        <w:rFonts w:ascii="Symbol" w:hAnsi="Symbol" w:hint="default"/>
      </w:rPr>
    </w:lvl>
    <w:lvl w:ilvl="4" w:tplc="04090003" w:tentative="1">
      <w:start w:val="1"/>
      <w:numFmt w:val="bullet"/>
      <w:lvlText w:val="o"/>
      <w:lvlJc w:val="left"/>
      <w:pPr>
        <w:ind w:left="3668" w:hanging="360"/>
      </w:pPr>
      <w:rPr>
        <w:rFonts w:ascii="Courier New" w:hAnsi="Courier New" w:cs="Courier New" w:hint="default"/>
      </w:rPr>
    </w:lvl>
    <w:lvl w:ilvl="5" w:tplc="04090005" w:tentative="1">
      <w:start w:val="1"/>
      <w:numFmt w:val="bullet"/>
      <w:lvlText w:val=""/>
      <w:lvlJc w:val="left"/>
      <w:pPr>
        <w:ind w:left="4388" w:hanging="360"/>
      </w:pPr>
      <w:rPr>
        <w:rFonts w:ascii="Wingdings" w:hAnsi="Wingdings" w:hint="default"/>
      </w:rPr>
    </w:lvl>
    <w:lvl w:ilvl="6" w:tplc="04090001" w:tentative="1">
      <w:start w:val="1"/>
      <w:numFmt w:val="bullet"/>
      <w:lvlText w:val=""/>
      <w:lvlJc w:val="left"/>
      <w:pPr>
        <w:ind w:left="5108" w:hanging="360"/>
      </w:pPr>
      <w:rPr>
        <w:rFonts w:ascii="Symbol" w:hAnsi="Symbol" w:hint="default"/>
      </w:rPr>
    </w:lvl>
    <w:lvl w:ilvl="7" w:tplc="04090003" w:tentative="1">
      <w:start w:val="1"/>
      <w:numFmt w:val="bullet"/>
      <w:lvlText w:val="o"/>
      <w:lvlJc w:val="left"/>
      <w:pPr>
        <w:ind w:left="5828" w:hanging="360"/>
      </w:pPr>
      <w:rPr>
        <w:rFonts w:ascii="Courier New" w:hAnsi="Courier New" w:cs="Courier New" w:hint="default"/>
      </w:rPr>
    </w:lvl>
    <w:lvl w:ilvl="8" w:tplc="04090005" w:tentative="1">
      <w:start w:val="1"/>
      <w:numFmt w:val="bullet"/>
      <w:lvlText w:val=""/>
      <w:lvlJc w:val="left"/>
      <w:pPr>
        <w:ind w:left="6548" w:hanging="360"/>
      </w:pPr>
      <w:rPr>
        <w:rFonts w:ascii="Wingdings" w:hAnsi="Wingdings" w:hint="default"/>
      </w:rPr>
    </w:lvl>
  </w:abstractNum>
  <w:abstractNum w:abstractNumId="11" w15:restartNumberingAfterBreak="0">
    <w:nsid w:val="50AE72FD"/>
    <w:multiLevelType w:val="hybridMultilevel"/>
    <w:tmpl w:val="FC7E36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2665CCF"/>
    <w:multiLevelType w:val="hybridMultilevel"/>
    <w:tmpl w:val="AF68E022"/>
    <w:lvl w:ilvl="0" w:tplc="BA70D018">
      <w:start w:val="5"/>
      <w:numFmt w:val="bullet"/>
      <w:lvlText w:val="-"/>
      <w:lvlJc w:val="left"/>
      <w:pPr>
        <w:ind w:left="720" w:hanging="360"/>
      </w:pPr>
      <w:rPr>
        <w:rFonts w:ascii="Verdana" w:eastAsia="Times New Roman" w:hAnsi="Verdana"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C9B6872"/>
    <w:multiLevelType w:val="hybridMultilevel"/>
    <w:tmpl w:val="4A842FB8"/>
    <w:lvl w:ilvl="0" w:tplc="FFFFFFFF">
      <w:start w:val="1"/>
      <w:numFmt w:val="bullet"/>
      <w:lvlText w:val=""/>
      <w:lvlJc w:val="left"/>
      <w:pPr>
        <w:tabs>
          <w:tab w:val="num" w:pos="360"/>
        </w:tabs>
        <w:ind w:left="340" w:hanging="34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17D54A5"/>
    <w:multiLevelType w:val="hybridMultilevel"/>
    <w:tmpl w:val="BE7AE19C"/>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5" w15:restartNumberingAfterBreak="0">
    <w:nsid w:val="710B136F"/>
    <w:multiLevelType w:val="hybridMultilevel"/>
    <w:tmpl w:val="6FBAD5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B1D6C27"/>
    <w:multiLevelType w:val="hybridMultilevel"/>
    <w:tmpl w:val="87949924"/>
    <w:lvl w:ilvl="0" w:tplc="8E107BAA">
      <w:start w:val="5"/>
      <w:numFmt w:val="bullet"/>
      <w:lvlText w:val="-"/>
      <w:lvlJc w:val="left"/>
      <w:pPr>
        <w:ind w:left="720" w:hanging="360"/>
      </w:pPr>
      <w:rPr>
        <w:rFonts w:ascii="Times New Roman" w:eastAsia="Times New Roman" w:hAnsi="Times New Roman" w:cs="Times New Roman"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24866336">
    <w:abstractNumId w:val="3"/>
  </w:num>
  <w:num w:numId="2" w16cid:durableId="639697042">
    <w:abstractNumId w:val="2"/>
  </w:num>
  <w:num w:numId="3" w16cid:durableId="913662000">
    <w:abstractNumId w:val="4"/>
  </w:num>
  <w:num w:numId="4" w16cid:durableId="1124498418">
    <w:abstractNumId w:val="7"/>
  </w:num>
  <w:num w:numId="5" w16cid:durableId="389039496">
    <w:abstractNumId w:val="0"/>
  </w:num>
  <w:num w:numId="6" w16cid:durableId="517234340">
    <w:abstractNumId w:val="8"/>
  </w:num>
  <w:num w:numId="7" w16cid:durableId="1873110569">
    <w:abstractNumId w:val="6"/>
  </w:num>
  <w:num w:numId="8" w16cid:durableId="1070151186">
    <w:abstractNumId w:val="13"/>
  </w:num>
  <w:num w:numId="9" w16cid:durableId="1053164089">
    <w:abstractNumId w:val="11"/>
  </w:num>
  <w:num w:numId="10" w16cid:durableId="1187669494">
    <w:abstractNumId w:val="14"/>
  </w:num>
  <w:num w:numId="11" w16cid:durableId="1783183876">
    <w:abstractNumId w:val="15"/>
  </w:num>
  <w:num w:numId="12" w16cid:durableId="543568309">
    <w:abstractNumId w:val="9"/>
  </w:num>
  <w:num w:numId="13" w16cid:durableId="1267269978">
    <w:abstractNumId w:val="5"/>
  </w:num>
  <w:num w:numId="14" w16cid:durableId="951401471">
    <w:abstractNumId w:val="10"/>
  </w:num>
  <w:num w:numId="15" w16cid:durableId="1125661741">
    <w:abstractNumId w:val="1"/>
  </w:num>
  <w:num w:numId="16" w16cid:durableId="1488664846">
    <w:abstractNumId w:val="12"/>
  </w:num>
  <w:num w:numId="17" w16cid:durableId="641863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drawingGridHorizontalSpacing w:val="120"/>
  <w:drawingGridVerticalSpacing w:val="163"/>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4CBB"/>
    <w:rsid w:val="00036A79"/>
    <w:rsid w:val="00040B1A"/>
    <w:rsid w:val="000419C6"/>
    <w:rsid w:val="00042613"/>
    <w:rsid w:val="00043684"/>
    <w:rsid w:val="00047774"/>
    <w:rsid w:val="00061F7F"/>
    <w:rsid w:val="00062517"/>
    <w:rsid w:val="00066F26"/>
    <w:rsid w:val="0007072F"/>
    <w:rsid w:val="0007398D"/>
    <w:rsid w:val="00075483"/>
    <w:rsid w:val="00082E2E"/>
    <w:rsid w:val="00085466"/>
    <w:rsid w:val="000B4CC2"/>
    <w:rsid w:val="000B63A8"/>
    <w:rsid w:val="000B7C5F"/>
    <w:rsid w:val="000C3440"/>
    <w:rsid w:val="000C4209"/>
    <w:rsid w:val="000D1762"/>
    <w:rsid w:val="000E1755"/>
    <w:rsid w:val="00117AF2"/>
    <w:rsid w:val="00120920"/>
    <w:rsid w:val="001216D5"/>
    <w:rsid w:val="00125EAC"/>
    <w:rsid w:val="0014131B"/>
    <w:rsid w:val="00141A72"/>
    <w:rsid w:val="001462AE"/>
    <w:rsid w:val="001632F9"/>
    <w:rsid w:val="00167456"/>
    <w:rsid w:val="0017312B"/>
    <w:rsid w:val="00174691"/>
    <w:rsid w:val="00174F42"/>
    <w:rsid w:val="001821A6"/>
    <w:rsid w:val="00182EE1"/>
    <w:rsid w:val="00184890"/>
    <w:rsid w:val="0018567A"/>
    <w:rsid w:val="00194457"/>
    <w:rsid w:val="001A1B1D"/>
    <w:rsid w:val="001A2806"/>
    <w:rsid w:val="001A5902"/>
    <w:rsid w:val="001B6B88"/>
    <w:rsid w:val="001D68E1"/>
    <w:rsid w:val="001E5760"/>
    <w:rsid w:val="001F4D1D"/>
    <w:rsid w:val="001F7A05"/>
    <w:rsid w:val="0020040B"/>
    <w:rsid w:val="00214113"/>
    <w:rsid w:val="002312F5"/>
    <w:rsid w:val="00241E25"/>
    <w:rsid w:val="002457EC"/>
    <w:rsid w:val="00246083"/>
    <w:rsid w:val="002501AE"/>
    <w:rsid w:val="00255EFC"/>
    <w:rsid w:val="00257AFC"/>
    <w:rsid w:val="00270B2C"/>
    <w:rsid w:val="00270D61"/>
    <w:rsid w:val="002745DB"/>
    <w:rsid w:val="0028539F"/>
    <w:rsid w:val="0029479D"/>
    <w:rsid w:val="002A779D"/>
    <w:rsid w:val="002B2E56"/>
    <w:rsid w:val="002D7E14"/>
    <w:rsid w:val="002E4A99"/>
    <w:rsid w:val="002E6487"/>
    <w:rsid w:val="00314099"/>
    <w:rsid w:val="003218BF"/>
    <w:rsid w:val="00333CB0"/>
    <w:rsid w:val="003400A9"/>
    <w:rsid w:val="003557CC"/>
    <w:rsid w:val="00366CA2"/>
    <w:rsid w:val="00370A45"/>
    <w:rsid w:val="00373381"/>
    <w:rsid w:val="003967ED"/>
    <w:rsid w:val="003A253D"/>
    <w:rsid w:val="003C0A8B"/>
    <w:rsid w:val="003C4A25"/>
    <w:rsid w:val="003E4329"/>
    <w:rsid w:val="003E6978"/>
    <w:rsid w:val="00400BA6"/>
    <w:rsid w:val="004067CF"/>
    <w:rsid w:val="00410E78"/>
    <w:rsid w:val="00411ACE"/>
    <w:rsid w:val="00416326"/>
    <w:rsid w:val="004259BD"/>
    <w:rsid w:val="004316F0"/>
    <w:rsid w:val="00432415"/>
    <w:rsid w:val="00433CC5"/>
    <w:rsid w:val="0043C205"/>
    <w:rsid w:val="004500F0"/>
    <w:rsid w:val="00451F3B"/>
    <w:rsid w:val="00454E36"/>
    <w:rsid w:val="0045777F"/>
    <w:rsid w:val="00472CD0"/>
    <w:rsid w:val="00483AD7"/>
    <w:rsid w:val="004A3B1D"/>
    <w:rsid w:val="004B09FC"/>
    <w:rsid w:val="004B1BD2"/>
    <w:rsid w:val="004C31A5"/>
    <w:rsid w:val="004D20C4"/>
    <w:rsid w:val="004F25C0"/>
    <w:rsid w:val="00506273"/>
    <w:rsid w:val="005073B2"/>
    <w:rsid w:val="00507A07"/>
    <w:rsid w:val="0051378F"/>
    <w:rsid w:val="005403CC"/>
    <w:rsid w:val="005411A6"/>
    <w:rsid w:val="00553864"/>
    <w:rsid w:val="005565C2"/>
    <w:rsid w:val="00561424"/>
    <w:rsid w:val="00573DB5"/>
    <w:rsid w:val="00575043"/>
    <w:rsid w:val="00586542"/>
    <w:rsid w:val="00590C5D"/>
    <w:rsid w:val="00597080"/>
    <w:rsid w:val="005A437A"/>
    <w:rsid w:val="005A7394"/>
    <w:rsid w:val="005B60BF"/>
    <w:rsid w:val="005C36A7"/>
    <w:rsid w:val="005C6C7F"/>
    <w:rsid w:val="005E1299"/>
    <w:rsid w:val="005E3CA5"/>
    <w:rsid w:val="005E7F67"/>
    <w:rsid w:val="006014CB"/>
    <w:rsid w:val="00613FD7"/>
    <w:rsid w:val="00616C7A"/>
    <w:rsid w:val="00621544"/>
    <w:rsid w:val="00622CA5"/>
    <w:rsid w:val="00625C10"/>
    <w:rsid w:val="00627D1C"/>
    <w:rsid w:val="00632CFB"/>
    <w:rsid w:val="00644D77"/>
    <w:rsid w:val="00655033"/>
    <w:rsid w:val="006566EB"/>
    <w:rsid w:val="00663AF3"/>
    <w:rsid w:val="00664468"/>
    <w:rsid w:val="006666B3"/>
    <w:rsid w:val="00672EAC"/>
    <w:rsid w:val="0067625E"/>
    <w:rsid w:val="00686492"/>
    <w:rsid w:val="006A11D7"/>
    <w:rsid w:val="006A2BE7"/>
    <w:rsid w:val="006B1B5E"/>
    <w:rsid w:val="006B59D6"/>
    <w:rsid w:val="006C5FE5"/>
    <w:rsid w:val="006D1E80"/>
    <w:rsid w:val="006D3D9E"/>
    <w:rsid w:val="006E0A3A"/>
    <w:rsid w:val="006E138F"/>
    <w:rsid w:val="006E6A0F"/>
    <w:rsid w:val="006E6C7C"/>
    <w:rsid w:val="006E704E"/>
    <w:rsid w:val="006F37ED"/>
    <w:rsid w:val="006F5BCB"/>
    <w:rsid w:val="00700579"/>
    <w:rsid w:val="007307AC"/>
    <w:rsid w:val="00735E8C"/>
    <w:rsid w:val="0074645D"/>
    <w:rsid w:val="00750A55"/>
    <w:rsid w:val="00757D6C"/>
    <w:rsid w:val="0076202D"/>
    <w:rsid w:val="0078128F"/>
    <w:rsid w:val="007930ED"/>
    <w:rsid w:val="007944E1"/>
    <w:rsid w:val="007A07FD"/>
    <w:rsid w:val="007A10E5"/>
    <w:rsid w:val="007A640A"/>
    <w:rsid w:val="007B6CD6"/>
    <w:rsid w:val="007C39C7"/>
    <w:rsid w:val="007C55ED"/>
    <w:rsid w:val="007C6FD0"/>
    <w:rsid w:val="007D10DB"/>
    <w:rsid w:val="007E3D06"/>
    <w:rsid w:val="007E4CBB"/>
    <w:rsid w:val="007F533A"/>
    <w:rsid w:val="00801155"/>
    <w:rsid w:val="00807091"/>
    <w:rsid w:val="00807522"/>
    <w:rsid w:val="008136F0"/>
    <w:rsid w:val="00815C2D"/>
    <w:rsid w:val="00817847"/>
    <w:rsid w:val="00824C83"/>
    <w:rsid w:val="00831747"/>
    <w:rsid w:val="00832623"/>
    <w:rsid w:val="008411FE"/>
    <w:rsid w:val="008442AE"/>
    <w:rsid w:val="00845D5E"/>
    <w:rsid w:val="008504CA"/>
    <w:rsid w:val="00852C97"/>
    <w:rsid w:val="00853EE4"/>
    <w:rsid w:val="0085572F"/>
    <w:rsid w:val="0086059D"/>
    <w:rsid w:val="00861186"/>
    <w:rsid w:val="0086703F"/>
    <w:rsid w:val="00877F43"/>
    <w:rsid w:val="00885AFE"/>
    <w:rsid w:val="0089432F"/>
    <w:rsid w:val="008955E1"/>
    <w:rsid w:val="008A0344"/>
    <w:rsid w:val="008A5BD3"/>
    <w:rsid w:val="008A6C82"/>
    <w:rsid w:val="008B0891"/>
    <w:rsid w:val="008B0962"/>
    <w:rsid w:val="008D4AB3"/>
    <w:rsid w:val="008D4E8C"/>
    <w:rsid w:val="008E6404"/>
    <w:rsid w:val="008E72C9"/>
    <w:rsid w:val="008F2797"/>
    <w:rsid w:val="00900810"/>
    <w:rsid w:val="009034B6"/>
    <w:rsid w:val="00905F75"/>
    <w:rsid w:val="00906CD3"/>
    <w:rsid w:val="009111F6"/>
    <w:rsid w:val="009208C1"/>
    <w:rsid w:val="00921A90"/>
    <w:rsid w:val="00922976"/>
    <w:rsid w:val="00923B40"/>
    <w:rsid w:val="00945CD5"/>
    <w:rsid w:val="00973267"/>
    <w:rsid w:val="00977AEB"/>
    <w:rsid w:val="00984891"/>
    <w:rsid w:val="009849B7"/>
    <w:rsid w:val="009875B0"/>
    <w:rsid w:val="00990532"/>
    <w:rsid w:val="009A227F"/>
    <w:rsid w:val="009B08D3"/>
    <w:rsid w:val="009C7213"/>
    <w:rsid w:val="009E2C7E"/>
    <w:rsid w:val="009E4CE5"/>
    <w:rsid w:val="009F14F0"/>
    <w:rsid w:val="00A05DD3"/>
    <w:rsid w:val="00A14004"/>
    <w:rsid w:val="00A27B54"/>
    <w:rsid w:val="00A36A06"/>
    <w:rsid w:val="00A44ED9"/>
    <w:rsid w:val="00A57F00"/>
    <w:rsid w:val="00A60834"/>
    <w:rsid w:val="00A6480C"/>
    <w:rsid w:val="00A662F9"/>
    <w:rsid w:val="00A76EC3"/>
    <w:rsid w:val="00A8084C"/>
    <w:rsid w:val="00A818EC"/>
    <w:rsid w:val="00A81E80"/>
    <w:rsid w:val="00A8470E"/>
    <w:rsid w:val="00AA19C7"/>
    <w:rsid w:val="00AA7AE7"/>
    <w:rsid w:val="00AB1D45"/>
    <w:rsid w:val="00AB2ADE"/>
    <w:rsid w:val="00AB2CBF"/>
    <w:rsid w:val="00AB3578"/>
    <w:rsid w:val="00AC1819"/>
    <w:rsid w:val="00AC7B0A"/>
    <w:rsid w:val="00AF45F9"/>
    <w:rsid w:val="00B0186E"/>
    <w:rsid w:val="00B10FAF"/>
    <w:rsid w:val="00B33107"/>
    <w:rsid w:val="00B3648A"/>
    <w:rsid w:val="00B453CB"/>
    <w:rsid w:val="00B56B13"/>
    <w:rsid w:val="00B657A8"/>
    <w:rsid w:val="00B72B82"/>
    <w:rsid w:val="00B746F9"/>
    <w:rsid w:val="00B7766F"/>
    <w:rsid w:val="00B813B6"/>
    <w:rsid w:val="00B82309"/>
    <w:rsid w:val="00B86367"/>
    <w:rsid w:val="00B879BF"/>
    <w:rsid w:val="00B87F0A"/>
    <w:rsid w:val="00B94043"/>
    <w:rsid w:val="00BB3AA0"/>
    <w:rsid w:val="00BC5A71"/>
    <w:rsid w:val="00BC78CC"/>
    <w:rsid w:val="00BD2F9C"/>
    <w:rsid w:val="00BE77F1"/>
    <w:rsid w:val="00BF29C9"/>
    <w:rsid w:val="00C11046"/>
    <w:rsid w:val="00C12EBC"/>
    <w:rsid w:val="00C21A5F"/>
    <w:rsid w:val="00C21AE6"/>
    <w:rsid w:val="00C22787"/>
    <w:rsid w:val="00C23998"/>
    <w:rsid w:val="00C24DFD"/>
    <w:rsid w:val="00C2574C"/>
    <w:rsid w:val="00C32D5E"/>
    <w:rsid w:val="00C41F96"/>
    <w:rsid w:val="00C4757B"/>
    <w:rsid w:val="00C50B68"/>
    <w:rsid w:val="00C52786"/>
    <w:rsid w:val="00C52931"/>
    <w:rsid w:val="00C5354B"/>
    <w:rsid w:val="00C569B8"/>
    <w:rsid w:val="00C61FFD"/>
    <w:rsid w:val="00C72507"/>
    <w:rsid w:val="00C72D3F"/>
    <w:rsid w:val="00C872FF"/>
    <w:rsid w:val="00CA5A69"/>
    <w:rsid w:val="00CB1297"/>
    <w:rsid w:val="00CB3B1B"/>
    <w:rsid w:val="00CC2380"/>
    <w:rsid w:val="00CD408F"/>
    <w:rsid w:val="00CE1825"/>
    <w:rsid w:val="00CE3739"/>
    <w:rsid w:val="00CF2BD3"/>
    <w:rsid w:val="00D054BA"/>
    <w:rsid w:val="00D06888"/>
    <w:rsid w:val="00D14C71"/>
    <w:rsid w:val="00D22A74"/>
    <w:rsid w:val="00D22F7C"/>
    <w:rsid w:val="00D26229"/>
    <w:rsid w:val="00D338EF"/>
    <w:rsid w:val="00D40E80"/>
    <w:rsid w:val="00D44776"/>
    <w:rsid w:val="00D50B21"/>
    <w:rsid w:val="00D510E3"/>
    <w:rsid w:val="00D5279F"/>
    <w:rsid w:val="00D5719E"/>
    <w:rsid w:val="00D60664"/>
    <w:rsid w:val="00D66BB4"/>
    <w:rsid w:val="00D679D8"/>
    <w:rsid w:val="00D728EB"/>
    <w:rsid w:val="00D754F1"/>
    <w:rsid w:val="00D77EA6"/>
    <w:rsid w:val="00D96BCF"/>
    <w:rsid w:val="00DA65B8"/>
    <w:rsid w:val="00DA775D"/>
    <w:rsid w:val="00DB407B"/>
    <w:rsid w:val="00DB63E1"/>
    <w:rsid w:val="00DC21F0"/>
    <w:rsid w:val="00DD0844"/>
    <w:rsid w:val="00DD319A"/>
    <w:rsid w:val="00DD3ABB"/>
    <w:rsid w:val="00DD7DFE"/>
    <w:rsid w:val="00DF1A3B"/>
    <w:rsid w:val="00DF57DF"/>
    <w:rsid w:val="00E14423"/>
    <w:rsid w:val="00E23BC4"/>
    <w:rsid w:val="00E23E3E"/>
    <w:rsid w:val="00E31DF7"/>
    <w:rsid w:val="00E323CB"/>
    <w:rsid w:val="00E4445A"/>
    <w:rsid w:val="00E4513C"/>
    <w:rsid w:val="00E62187"/>
    <w:rsid w:val="00E72A8B"/>
    <w:rsid w:val="00E72C75"/>
    <w:rsid w:val="00E73370"/>
    <w:rsid w:val="00E77912"/>
    <w:rsid w:val="00E80C2F"/>
    <w:rsid w:val="00E927DD"/>
    <w:rsid w:val="00E94D50"/>
    <w:rsid w:val="00EA1208"/>
    <w:rsid w:val="00EA3101"/>
    <w:rsid w:val="00EA5C77"/>
    <w:rsid w:val="00EB4082"/>
    <w:rsid w:val="00EB5562"/>
    <w:rsid w:val="00EB641F"/>
    <w:rsid w:val="00EC3DA7"/>
    <w:rsid w:val="00ED590B"/>
    <w:rsid w:val="00ED6473"/>
    <w:rsid w:val="00EE48A3"/>
    <w:rsid w:val="00EF0A25"/>
    <w:rsid w:val="00EF57EC"/>
    <w:rsid w:val="00F1497C"/>
    <w:rsid w:val="00F240FC"/>
    <w:rsid w:val="00F26A37"/>
    <w:rsid w:val="00F35675"/>
    <w:rsid w:val="00F40391"/>
    <w:rsid w:val="00F406A7"/>
    <w:rsid w:val="00F419B9"/>
    <w:rsid w:val="00F42BD1"/>
    <w:rsid w:val="00F434ED"/>
    <w:rsid w:val="00F600CD"/>
    <w:rsid w:val="00F6016C"/>
    <w:rsid w:val="00F6195D"/>
    <w:rsid w:val="00F62798"/>
    <w:rsid w:val="00F62EC9"/>
    <w:rsid w:val="00F64C63"/>
    <w:rsid w:val="00F76011"/>
    <w:rsid w:val="00F76798"/>
    <w:rsid w:val="00F81AF6"/>
    <w:rsid w:val="00F86A19"/>
    <w:rsid w:val="00F90C6B"/>
    <w:rsid w:val="00FA3D02"/>
    <w:rsid w:val="00FB7FB6"/>
    <w:rsid w:val="00FC3841"/>
    <w:rsid w:val="00FD6874"/>
    <w:rsid w:val="00FE01AD"/>
    <w:rsid w:val="00FE5FF7"/>
    <w:rsid w:val="016336A4"/>
    <w:rsid w:val="01C83690"/>
    <w:rsid w:val="0400FA91"/>
    <w:rsid w:val="058689AF"/>
    <w:rsid w:val="06487E49"/>
    <w:rsid w:val="069C7EC8"/>
    <w:rsid w:val="06A149E8"/>
    <w:rsid w:val="06F5921B"/>
    <w:rsid w:val="07E059C2"/>
    <w:rsid w:val="07F742DD"/>
    <w:rsid w:val="083E2F3C"/>
    <w:rsid w:val="09987FA7"/>
    <w:rsid w:val="09E5470D"/>
    <w:rsid w:val="09FF2B06"/>
    <w:rsid w:val="0CCF9314"/>
    <w:rsid w:val="0DA43380"/>
    <w:rsid w:val="0DA75B35"/>
    <w:rsid w:val="0E10D04F"/>
    <w:rsid w:val="0E399D9D"/>
    <w:rsid w:val="0FF479C3"/>
    <w:rsid w:val="106985B2"/>
    <w:rsid w:val="10B7FB1D"/>
    <w:rsid w:val="1148376F"/>
    <w:rsid w:val="12E36EC2"/>
    <w:rsid w:val="14203946"/>
    <w:rsid w:val="161C7CA3"/>
    <w:rsid w:val="17475FD7"/>
    <w:rsid w:val="185A6ED7"/>
    <w:rsid w:val="18D57078"/>
    <w:rsid w:val="1A242119"/>
    <w:rsid w:val="1C196D8C"/>
    <w:rsid w:val="1CD5F5E8"/>
    <w:rsid w:val="1D35FF94"/>
    <w:rsid w:val="1E0AEFBB"/>
    <w:rsid w:val="1E15FDBF"/>
    <w:rsid w:val="1E790886"/>
    <w:rsid w:val="1F22402B"/>
    <w:rsid w:val="20BE9ECC"/>
    <w:rsid w:val="21F7F5BF"/>
    <w:rsid w:val="228A0904"/>
    <w:rsid w:val="233126DC"/>
    <w:rsid w:val="237AB06C"/>
    <w:rsid w:val="249E71F8"/>
    <w:rsid w:val="2526EDE4"/>
    <w:rsid w:val="25FFFF35"/>
    <w:rsid w:val="2625BD23"/>
    <w:rsid w:val="27675CC4"/>
    <w:rsid w:val="278AFE68"/>
    <w:rsid w:val="28108D9F"/>
    <w:rsid w:val="28995D01"/>
    <w:rsid w:val="29FC2FA8"/>
    <w:rsid w:val="2AFC33C8"/>
    <w:rsid w:val="2B218064"/>
    <w:rsid w:val="2DCAE367"/>
    <w:rsid w:val="2F4A4797"/>
    <w:rsid w:val="2F77A103"/>
    <w:rsid w:val="303A840B"/>
    <w:rsid w:val="30B7DE51"/>
    <w:rsid w:val="30FC2756"/>
    <w:rsid w:val="3130E0B2"/>
    <w:rsid w:val="313298E9"/>
    <w:rsid w:val="321B0182"/>
    <w:rsid w:val="3279F48D"/>
    <w:rsid w:val="35CB84C3"/>
    <w:rsid w:val="376E3404"/>
    <w:rsid w:val="37DF2C8F"/>
    <w:rsid w:val="3A365A72"/>
    <w:rsid w:val="3D32A60C"/>
    <w:rsid w:val="3DAF9675"/>
    <w:rsid w:val="3ECE9C9F"/>
    <w:rsid w:val="41E0ED88"/>
    <w:rsid w:val="42B99FBA"/>
    <w:rsid w:val="43E8AC04"/>
    <w:rsid w:val="44D8D075"/>
    <w:rsid w:val="461E964B"/>
    <w:rsid w:val="46781646"/>
    <w:rsid w:val="4683B2FC"/>
    <w:rsid w:val="4701F92E"/>
    <w:rsid w:val="473E361B"/>
    <w:rsid w:val="479D6BF5"/>
    <w:rsid w:val="47F32C08"/>
    <w:rsid w:val="49A12618"/>
    <w:rsid w:val="4BDE07AA"/>
    <w:rsid w:val="4D78FA1C"/>
    <w:rsid w:val="4DAFAEEE"/>
    <w:rsid w:val="4E0BF7DF"/>
    <w:rsid w:val="4EB21922"/>
    <w:rsid w:val="4EBC2814"/>
    <w:rsid w:val="4F033DD1"/>
    <w:rsid w:val="5024021D"/>
    <w:rsid w:val="505D41C6"/>
    <w:rsid w:val="51EBD63F"/>
    <w:rsid w:val="5248955F"/>
    <w:rsid w:val="524A2BC4"/>
    <w:rsid w:val="52596F8A"/>
    <w:rsid w:val="5298C98F"/>
    <w:rsid w:val="542557B1"/>
    <w:rsid w:val="54E9C00C"/>
    <w:rsid w:val="5524C5CA"/>
    <w:rsid w:val="575F30B2"/>
    <w:rsid w:val="5990A520"/>
    <w:rsid w:val="5B73396B"/>
    <w:rsid w:val="5BC6CBF2"/>
    <w:rsid w:val="5BECE9B9"/>
    <w:rsid w:val="5C30638A"/>
    <w:rsid w:val="5C5B5DCC"/>
    <w:rsid w:val="5D43EDFC"/>
    <w:rsid w:val="60979697"/>
    <w:rsid w:val="61004A80"/>
    <w:rsid w:val="6102CE50"/>
    <w:rsid w:val="61159CC7"/>
    <w:rsid w:val="611A2A21"/>
    <w:rsid w:val="6289B862"/>
    <w:rsid w:val="62A908A3"/>
    <w:rsid w:val="63DB1856"/>
    <w:rsid w:val="6724168D"/>
    <w:rsid w:val="6744C833"/>
    <w:rsid w:val="67B2A0AF"/>
    <w:rsid w:val="67D01902"/>
    <w:rsid w:val="68C2A9D2"/>
    <w:rsid w:val="68F7B91A"/>
    <w:rsid w:val="6960001D"/>
    <w:rsid w:val="69DABAB3"/>
    <w:rsid w:val="6A12091E"/>
    <w:rsid w:val="6B0BEF69"/>
    <w:rsid w:val="6B23D4A8"/>
    <w:rsid w:val="6BA9CC41"/>
    <w:rsid w:val="6FA4881F"/>
    <w:rsid w:val="709DFE35"/>
    <w:rsid w:val="71A7F408"/>
    <w:rsid w:val="72AB98A2"/>
    <w:rsid w:val="7375ADF5"/>
    <w:rsid w:val="73A7F994"/>
    <w:rsid w:val="73AC3C9B"/>
    <w:rsid w:val="73CE09D7"/>
    <w:rsid w:val="74DD6C3B"/>
    <w:rsid w:val="75BD3F22"/>
    <w:rsid w:val="76A04A31"/>
    <w:rsid w:val="782592C8"/>
    <w:rsid w:val="7995262D"/>
    <w:rsid w:val="7B1AFA8E"/>
    <w:rsid w:val="7BA27304"/>
    <w:rsid w:val="7DA4358F"/>
    <w:rsid w:val="7DCFF578"/>
    <w:rsid w:val="7EA0BFF2"/>
    <w:rsid w:val="7EB510BA"/>
    <w:rsid w:val="7FFA87C9"/>
    <w:rsid w:val="7FFB0AB0"/>
  </w:rsids>
  <m:mathPr>
    <m:mathFont m:val="Cambria Math"/>
    <m:brkBin m:val="before"/>
    <m:brkBinSub m:val="--"/>
    <m:smallFrac m:val="0"/>
    <m:dispDef/>
    <m:lMargin m:val="0"/>
    <m:rMargin m:val="0"/>
    <m:defJc m:val="centerGroup"/>
    <m:wrapIndent m:val="1440"/>
    <m:intLim m:val="subSup"/>
    <m:naryLim m:val="undOvr"/>
  </m:mathPr>
  <w:themeFontLang w:val="nl-NL"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7374BE"/>
  <w15:docId w15:val="{52B35D41-36C8-46B0-80D5-4941FAD0B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1186"/>
    <w:rPr>
      <w:sz w:val="24"/>
      <w:szCs w:val="24"/>
    </w:rPr>
  </w:style>
  <w:style w:type="paragraph" w:styleId="Heading2">
    <w:name w:val="heading 2"/>
    <w:basedOn w:val="Normal"/>
    <w:next w:val="Normal"/>
    <w:qFormat/>
    <w:rsid w:val="00861186"/>
    <w:pPr>
      <w:keepNext/>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E4CBB"/>
    <w:rPr>
      <w:rFonts w:ascii="Tahoma" w:hAnsi="Tahoma" w:cs="Tahoma"/>
      <w:sz w:val="16"/>
      <w:szCs w:val="16"/>
    </w:rPr>
  </w:style>
  <w:style w:type="character" w:customStyle="1" w:styleId="BalloonTextChar">
    <w:name w:val="Balloon Text Char"/>
    <w:basedOn w:val="DefaultParagraphFont"/>
    <w:link w:val="BalloonText"/>
    <w:uiPriority w:val="99"/>
    <w:semiHidden/>
    <w:rsid w:val="007E4CBB"/>
    <w:rPr>
      <w:rFonts w:ascii="Tahoma" w:hAnsi="Tahoma" w:cs="Tahoma"/>
      <w:sz w:val="16"/>
      <w:szCs w:val="16"/>
    </w:rPr>
  </w:style>
  <w:style w:type="character" w:styleId="CommentReference">
    <w:name w:val="annotation reference"/>
    <w:basedOn w:val="DefaultParagraphFont"/>
    <w:uiPriority w:val="99"/>
    <w:semiHidden/>
    <w:unhideWhenUsed/>
    <w:rsid w:val="00B3648A"/>
    <w:rPr>
      <w:sz w:val="16"/>
      <w:szCs w:val="16"/>
    </w:rPr>
  </w:style>
  <w:style w:type="paragraph" w:styleId="CommentText">
    <w:name w:val="annotation text"/>
    <w:basedOn w:val="Normal"/>
    <w:link w:val="CommentTextChar"/>
    <w:uiPriority w:val="99"/>
    <w:semiHidden/>
    <w:unhideWhenUsed/>
    <w:rsid w:val="00B3648A"/>
    <w:rPr>
      <w:sz w:val="20"/>
      <w:szCs w:val="20"/>
    </w:rPr>
  </w:style>
  <w:style w:type="character" w:customStyle="1" w:styleId="CommentTextChar">
    <w:name w:val="Comment Text Char"/>
    <w:basedOn w:val="DefaultParagraphFont"/>
    <w:link w:val="CommentText"/>
    <w:uiPriority w:val="99"/>
    <w:semiHidden/>
    <w:rsid w:val="00B3648A"/>
  </w:style>
  <w:style w:type="paragraph" w:styleId="CommentSubject">
    <w:name w:val="annotation subject"/>
    <w:basedOn w:val="CommentText"/>
    <w:next w:val="CommentText"/>
    <w:link w:val="CommentSubjectChar"/>
    <w:uiPriority w:val="99"/>
    <w:semiHidden/>
    <w:unhideWhenUsed/>
    <w:rsid w:val="00B3648A"/>
    <w:rPr>
      <w:b/>
      <w:bCs/>
    </w:rPr>
  </w:style>
  <w:style w:type="character" w:customStyle="1" w:styleId="CommentSubjectChar">
    <w:name w:val="Comment Subject Char"/>
    <w:basedOn w:val="CommentTextChar"/>
    <w:link w:val="CommentSubject"/>
    <w:uiPriority w:val="99"/>
    <w:semiHidden/>
    <w:rsid w:val="00B3648A"/>
    <w:rPr>
      <w:b/>
      <w:bCs/>
    </w:rPr>
  </w:style>
  <w:style w:type="paragraph" w:styleId="Revision">
    <w:name w:val="Revision"/>
    <w:hidden/>
    <w:uiPriority w:val="99"/>
    <w:semiHidden/>
    <w:rsid w:val="000E1755"/>
    <w:rPr>
      <w:sz w:val="24"/>
      <w:szCs w:val="24"/>
    </w:rPr>
  </w:style>
  <w:style w:type="paragraph" w:styleId="Header">
    <w:name w:val="header"/>
    <w:basedOn w:val="Normal"/>
    <w:link w:val="HeaderChar"/>
    <w:uiPriority w:val="99"/>
    <w:unhideWhenUsed/>
    <w:rsid w:val="00905F75"/>
    <w:pPr>
      <w:tabs>
        <w:tab w:val="center" w:pos="4536"/>
        <w:tab w:val="right" w:pos="9072"/>
      </w:tabs>
    </w:pPr>
  </w:style>
  <w:style w:type="character" w:customStyle="1" w:styleId="HeaderChar">
    <w:name w:val="Header Char"/>
    <w:basedOn w:val="DefaultParagraphFont"/>
    <w:link w:val="Header"/>
    <w:uiPriority w:val="99"/>
    <w:rsid w:val="00905F75"/>
    <w:rPr>
      <w:sz w:val="24"/>
      <w:szCs w:val="24"/>
    </w:rPr>
  </w:style>
  <w:style w:type="paragraph" w:styleId="Footer">
    <w:name w:val="footer"/>
    <w:basedOn w:val="Normal"/>
    <w:link w:val="FooterChar"/>
    <w:uiPriority w:val="99"/>
    <w:unhideWhenUsed/>
    <w:rsid w:val="00905F75"/>
    <w:pPr>
      <w:tabs>
        <w:tab w:val="center" w:pos="4536"/>
        <w:tab w:val="right" w:pos="9072"/>
      </w:tabs>
    </w:pPr>
  </w:style>
  <w:style w:type="character" w:customStyle="1" w:styleId="FooterChar">
    <w:name w:val="Footer Char"/>
    <w:basedOn w:val="DefaultParagraphFont"/>
    <w:link w:val="Footer"/>
    <w:uiPriority w:val="99"/>
    <w:rsid w:val="00905F75"/>
    <w:rPr>
      <w:sz w:val="24"/>
      <w:szCs w:val="24"/>
    </w:rPr>
  </w:style>
  <w:style w:type="paragraph" w:styleId="ListParagraph">
    <w:name w:val="List Paragraph"/>
    <w:basedOn w:val="Normal"/>
    <w:uiPriority w:val="34"/>
    <w:qFormat/>
    <w:rsid w:val="002E6487"/>
    <w:pPr>
      <w:ind w:left="720"/>
      <w:contextualSpacing/>
    </w:pPr>
  </w:style>
  <w:style w:type="character" w:styleId="Hyperlink">
    <w:name w:val="Hyperlink"/>
    <w:basedOn w:val="DefaultParagraphFont"/>
    <w:uiPriority w:val="99"/>
    <w:unhideWhenUsed/>
    <w:rsid w:val="002457EC"/>
    <w:rPr>
      <w:color w:val="0000FF" w:themeColor="hyperlink"/>
      <w:u w:val="single"/>
    </w:rPr>
  </w:style>
  <w:style w:type="paragraph" w:customStyle="1" w:styleId="Default">
    <w:name w:val="Default"/>
    <w:rsid w:val="00B453CB"/>
    <w:pPr>
      <w:autoSpaceDE w:val="0"/>
      <w:autoSpaceDN w:val="0"/>
      <w:adjustRightInd w:val="0"/>
    </w:pPr>
    <w:rPr>
      <w:color w:val="000000"/>
      <w:sz w:val="24"/>
      <w:szCs w:val="24"/>
      <w:lang w:val="en-US"/>
    </w:rPr>
  </w:style>
  <w:style w:type="paragraph" w:styleId="EndnoteText">
    <w:name w:val="endnote text"/>
    <w:basedOn w:val="Normal"/>
    <w:link w:val="EndnoteTextChar"/>
    <w:uiPriority w:val="99"/>
    <w:unhideWhenUsed/>
    <w:rsid w:val="00B453CB"/>
    <w:rPr>
      <w:rFonts w:asciiTheme="minorHAnsi" w:eastAsiaTheme="minorHAnsi" w:hAnsiTheme="minorHAnsi" w:cstheme="minorBidi"/>
      <w:sz w:val="20"/>
      <w:szCs w:val="20"/>
      <w:lang w:val="en-US" w:eastAsia="en-US"/>
    </w:rPr>
  </w:style>
  <w:style w:type="character" w:customStyle="1" w:styleId="EndnoteTextChar">
    <w:name w:val="Endnote Text Char"/>
    <w:basedOn w:val="DefaultParagraphFont"/>
    <w:link w:val="EndnoteText"/>
    <w:uiPriority w:val="99"/>
    <w:rsid w:val="00B453CB"/>
    <w:rPr>
      <w:rFonts w:asciiTheme="minorHAnsi" w:eastAsiaTheme="minorHAnsi" w:hAnsiTheme="minorHAnsi" w:cstheme="minorBidi"/>
      <w:lang w:val="en-US" w:eastAsia="en-US"/>
    </w:rPr>
  </w:style>
  <w:style w:type="character" w:styleId="EndnoteReference">
    <w:name w:val="endnote reference"/>
    <w:basedOn w:val="DefaultParagraphFont"/>
    <w:uiPriority w:val="99"/>
    <w:unhideWhenUsed/>
    <w:rsid w:val="00B453CB"/>
    <w:rPr>
      <w:vertAlign w:val="superscript"/>
    </w:rPr>
  </w:style>
  <w:style w:type="paragraph" w:styleId="NormalWeb">
    <w:name w:val="Normal (Web)"/>
    <w:basedOn w:val="Normal"/>
    <w:uiPriority w:val="99"/>
    <w:unhideWhenUsed/>
    <w:rsid w:val="00F86A19"/>
  </w:style>
  <w:style w:type="table" w:styleId="TableGrid">
    <w:name w:val="Table Grid"/>
    <w:basedOn w:val="TableNormal"/>
    <w:rsid w:val="007C39C7"/>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CA5A69"/>
    <w:rPr>
      <w:sz w:val="20"/>
      <w:szCs w:val="20"/>
    </w:rPr>
  </w:style>
  <w:style w:type="character" w:customStyle="1" w:styleId="FootnoteTextChar">
    <w:name w:val="Footnote Text Char"/>
    <w:basedOn w:val="DefaultParagraphFont"/>
    <w:link w:val="FootnoteText"/>
    <w:uiPriority w:val="99"/>
    <w:semiHidden/>
    <w:rsid w:val="00CA5A69"/>
  </w:style>
  <w:style w:type="character" w:styleId="FootnoteReference">
    <w:name w:val="footnote reference"/>
    <w:basedOn w:val="DefaultParagraphFont"/>
    <w:uiPriority w:val="99"/>
    <w:semiHidden/>
    <w:unhideWhenUsed/>
    <w:rsid w:val="00CA5A69"/>
    <w:rPr>
      <w:vertAlign w:val="superscript"/>
    </w:rPr>
  </w:style>
  <w:style w:type="character" w:styleId="FollowedHyperlink">
    <w:name w:val="FollowedHyperlink"/>
    <w:basedOn w:val="DefaultParagraphFont"/>
    <w:uiPriority w:val="99"/>
    <w:semiHidden/>
    <w:unhideWhenUsed/>
    <w:rsid w:val="002745D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45805">
      <w:bodyDiv w:val="1"/>
      <w:marLeft w:val="0"/>
      <w:marRight w:val="0"/>
      <w:marTop w:val="0"/>
      <w:marBottom w:val="0"/>
      <w:divBdr>
        <w:top w:val="none" w:sz="0" w:space="0" w:color="auto"/>
        <w:left w:val="none" w:sz="0" w:space="0" w:color="auto"/>
        <w:bottom w:val="none" w:sz="0" w:space="0" w:color="auto"/>
        <w:right w:val="none" w:sz="0" w:space="0" w:color="auto"/>
      </w:divBdr>
    </w:div>
    <w:div w:id="242566213">
      <w:bodyDiv w:val="1"/>
      <w:marLeft w:val="0"/>
      <w:marRight w:val="0"/>
      <w:marTop w:val="0"/>
      <w:marBottom w:val="0"/>
      <w:divBdr>
        <w:top w:val="none" w:sz="0" w:space="0" w:color="auto"/>
        <w:left w:val="none" w:sz="0" w:space="0" w:color="auto"/>
        <w:bottom w:val="none" w:sz="0" w:space="0" w:color="auto"/>
        <w:right w:val="none" w:sz="0" w:space="0" w:color="auto"/>
      </w:divBdr>
    </w:div>
    <w:div w:id="392240042">
      <w:bodyDiv w:val="1"/>
      <w:marLeft w:val="0"/>
      <w:marRight w:val="0"/>
      <w:marTop w:val="0"/>
      <w:marBottom w:val="0"/>
      <w:divBdr>
        <w:top w:val="none" w:sz="0" w:space="0" w:color="auto"/>
        <w:left w:val="none" w:sz="0" w:space="0" w:color="auto"/>
        <w:bottom w:val="none" w:sz="0" w:space="0" w:color="auto"/>
        <w:right w:val="none" w:sz="0" w:space="0" w:color="auto"/>
      </w:divBdr>
    </w:div>
    <w:div w:id="715280984">
      <w:bodyDiv w:val="1"/>
      <w:marLeft w:val="0"/>
      <w:marRight w:val="0"/>
      <w:marTop w:val="0"/>
      <w:marBottom w:val="0"/>
      <w:divBdr>
        <w:top w:val="none" w:sz="0" w:space="0" w:color="auto"/>
        <w:left w:val="none" w:sz="0" w:space="0" w:color="auto"/>
        <w:bottom w:val="none" w:sz="0" w:space="0" w:color="auto"/>
        <w:right w:val="none" w:sz="0" w:space="0" w:color="auto"/>
      </w:divBdr>
    </w:div>
    <w:div w:id="1328291402">
      <w:bodyDiv w:val="1"/>
      <w:marLeft w:val="0"/>
      <w:marRight w:val="0"/>
      <w:marTop w:val="0"/>
      <w:marBottom w:val="0"/>
      <w:divBdr>
        <w:top w:val="none" w:sz="0" w:space="0" w:color="auto"/>
        <w:left w:val="none" w:sz="0" w:space="0" w:color="auto"/>
        <w:bottom w:val="none" w:sz="0" w:space="0" w:color="auto"/>
        <w:right w:val="none" w:sz="0" w:space="0" w:color="auto"/>
      </w:divBdr>
    </w:div>
    <w:div w:id="1584415358">
      <w:bodyDiv w:val="1"/>
      <w:marLeft w:val="0"/>
      <w:marRight w:val="0"/>
      <w:marTop w:val="0"/>
      <w:marBottom w:val="0"/>
      <w:divBdr>
        <w:top w:val="none" w:sz="0" w:space="0" w:color="auto"/>
        <w:left w:val="none" w:sz="0" w:space="0" w:color="auto"/>
        <w:bottom w:val="none" w:sz="0" w:space="0" w:color="auto"/>
        <w:right w:val="none" w:sz="0" w:space="0" w:color="auto"/>
      </w:divBdr>
    </w:div>
    <w:div w:id="1680499685">
      <w:bodyDiv w:val="1"/>
      <w:marLeft w:val="0"/>
      <w:marRight w:val="0"/>
      <w:marTop w:val="0"/>
      <w:marBottom w:val="0"/>
      <w:divBdr>
        <w:top w:val="none" w:sz="0" w:space="0" w:color="auto"/>
        <w:left w:val="none" w:sz="0" w:space="0" w:color="auto"/>
        <w:bottom w:val="none" w:sz="0" w:space="0" w:color="auto"/>
        <w:right w:val="none" w:sz="0" w:space="0" w:color="auto"/>
      </w:divBdr>
    </w:div>
    <w:div w:id="1779636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anssen.com/nederland"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1353907F21BF544ACA97A7C48D89AB7" ma:contentTypeVersion="12" ma:contentTypeDescription="Create a new document." ma:contentTypeScope="" ma:versionID="be610feb819c828224b42cedd0e8cfa0">
  <xsd:schema xmlns:xsd="http://www.w3.org/2001/XMLSchema" xmlns:xs="http://www.w3.org/2001/XMLSchema" xmlns:p="http://schemas.microsoft.com/office/2006/metadata/properties" xmlns:ns2="042f021a-72e4-41b1-8dde-b22bd4e4c9a5" xmlns:ns3="1a8c57b8-72ce-4292-8897-15587254309c" targetNamespace="http://schemas.microsoft.com/office/2006/metadata/properties" ma:root="true" ma:fieldsID="135b9195b2993939d27540e20fd652f1" ns2:_="" ns3:_="">
    <xsd:import namespace="042f021a-72e4-41b1-8dde-b22bd4e4c9a5"/>
    <xsd:import namespace="1a8c57b8-72ce-4292-8897-15587254309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2f021a-72e4-41b1-8dde-b22bd4e4c9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8c57b8-72ce-4292-8897-15587254309c"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19A8CE3-245F-4425-B855-1E52B658D5ED}">
  <ds:schemaRefs>
    <ds:schemaRef ds:uri="http://schemas.openxmlformats.org/officeDocument/2006/bibliography"/>
  </ds:schemaRefs>
</ds:datastoreItem>
</file>

<file path=customXml/itemProps2.xml><?xml version="1.0" encoding="utf-8"?>
<ds:datastoreItem xmlns:ds="http://schemas.openxmlformats.org/officeDocument/2006/customXml" ds:itemID="{7CCA9057-1CAC-489A-83E9-39261D26ED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2f021a-72e4-41b1-8dde-b22bd4e4c9a5"/>
    <ds:schemaRef ds:uri="1a8c57b8-72ce-4292-8897-1558725430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C987CAF-55C3-4F56-9DBD-802BCE672A3C}">
  <ds:schemaRefs>
    <ds:schemaRef ds:uri="http://schemas.microsoft.com/sharepoint/v3/contenttype/forms"/>
  </ds:schemaRefs>
</ds:datastoreItem>
</file>

<file path=customXml/itemProps4.xml><?xml version="1.0" encoding="utf-8"?>
<ds:datastoreItem xmlns:ds="http://schemas.openxmlformats.org/officeDocument/2006/customXml" ds:itemID="{D14922CE-532D-44B1-9B90-C81F1DF0421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11</Pages>
  <Words>4182</Words>
  <Characters>26322</Characters>
  <Application>Microsoft Office Word</Application>
  <DocSecurity>0</DocSecurity>
  <Lines>219</Lines>
  <Paragraphs>60</Paragraphs>
  <ScaleCrop>false</ScaleCrop>
  <HeadingPairs>
    <vt:vector size="2" baseType="variant">
      <vt:variant>
        <vt:lpstr>Title</vt:lpstr>
      </vt:variant>
      <vt:variant>
        <vt:i4>1</vt:i4>
      </vt:variant>
    </vt:vector>
  </HeadingPairs>
  <TitlesOfParts>
    <vt:vector size="1" baseType="lpstr">
      <vt:lpstr>PROCEDURE AANVRAAG NIEUWE GENEESMIDDELEN</vt:lpstr>
    </vt:vector>
  </TitlesOfParts>
  <Company>ICT Beheer</Company>
  <LinksUpToDate>false</LinksUpToDate>
  <CharactersWithSpaces>30444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PROCEDURE AANVRAAG NIEUWE GENEESMIDDELEN</dc:title>
  <dc:creator>gkortum</dc:creator>
  <cp:lastModifiedBy>Caerteling, Sander [JACNL]</cp:lastModifiedBy>
  <cp:revision>5</cp:revision>
  <cp:lastPrinted>2018-07-06T08:26:00Z</cp:lastPrinted>
  <dcterms:created xsi:type="dcterms:W3CDTF">2023-07-18T09:04:00Z</dcterms:created>
  <dcterms:modified xsi:type="dcterms:W3CDTF">2023-07-22T17:30:00Z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0x01010061353907F21BF544ACA97A7C48D89AB7</vt:lpwstr>
  </property>
</Properties>
</file>